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B" w:rsidRDefault="00154C5B" w:rsidP="00154C5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54C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-168910</wp:posOffset>
            </wp:positionV>
            <wp:extent cx="3169920" cy="1170940"/>
            <wp:effectExtent l="19050" t="0" r="0" b="0"/>
            <wp:wrapTight wrapText="bothSides">
              <wp:wrapPolygon edited="0">
                <wp:start x="-130" y="0"/>
                <wp:lineTo x="-130" y="21085"/>
                <wp:lineTo x="21548" y="21085"/>
                <wp:lineTo x="21548" y="0"/>
                <wp:lineTo x="-13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C5B" w:rsidRDefault="00154C5B" w:rsidP="00154C5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4C5B" w:rsidRDefault="00154C5B" w:rsidP="00154C5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4C5B" w:rsidRDefault="00154C5B" w:rsidP="00154C5B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15B0" w:rsidRPr="00A204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</w:t>
          </w:r>
          <w:r w:rsidR="00CE0422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- ЮНИОРЫ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A204BB" w:rsidRDefault="00F620A8" w:rsidP="00154C5B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B31296" w:rsidRDefault="00B31296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DC0CF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CE042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CE0422" w:rsidRDefault="009F46B8" w:rsidP="00C53B1A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CE0422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CE0422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CE0422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CE0422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B18A2" w:rsidRPr="00CE0422">
          <w:rPr>
            <w:rFonts w:ascii="Times New Roman" w:hAnsi="Times New Roman"/>
            <w:noProof/>
            <w:webHidden/>
            <w:szCs w:val="24"/>
          </w:rPr>
          <w:tab/>
        </w:r>
        <w:r w:rsidRPr="00CE0422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CE0422">
          <w:rPr>
            <w:rFonts w:ascii="Times New Roman" w:hAnsi="Times New Roman"/>
            <w:noProof/>
            <w:webHidden/>
            <w:szCs w:val="24"/>
          </w:rPr>
          <w:instrText xml:space="preserve"> PAGEREF _Toc124422965 \h </w:instrText>
        </w:r>
        <w:r w:rsidRPr="00CE0422">
          <w:rPr>
            <w:rFonts w:ascii="Times New Roman" w:hAnsi="Times New Roman"/>
            <w:noProof/>
            <w:webHidden/>
            <w:szCs w:val="24"/>
          </w:rPr>
        </w:r>
        <w:r w:rsidRPr="00CE0422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53B1A" w:rsidRPr="00CE0422">
          <w:rPr>
            <w:rFonts w:ascii="Times New Roman" w:hAnsi="Times New Roman"/>
            <w:noProof/>
            <w:webHidden/>
            <w:szCs w:val="24"/>
          </w:rPr>
          <w:t>3</w:t>
        </w:r>
        <w:r w:rsidRPr="00CE0422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CE0422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9F46B8" w:rsidRPr="00CE0422">
          <w:rPr>
            <w:noProof/>
            <w:webHidden/>
            <w:sz w:val="24"/>
            <w:szCs w:val="24"/>
          </w:rPr>
          <w:fldChar w:fldCharType="begin"/>
        </w:r>
        <w:r w:rsidR="009B18A2" w:rsidRPr="00CE0422">
          <w:rPr>
            <w:noProof/>
            <w:webHidden/>
            <w:sz w:val="24"/>
            <w:szCs w:val="24"/>
          </w:rPr>
          <w:instrText xml:space="preserve"> PAGEREF _Toc124422966 \h </w:instrText>
        </w:r>
        <w:r w:rsidR="009F46B8" w:rsidRPr="00CE0422">
          <w:rPr>
            <w:noProof/>
            <w:webHidden/>
            <w:sz w:val="24"/>
            <w:szCs w:val="24"/>
          </w:rPr>
        </w:r>
        <w:r w:rsidR="009F46B8" w:rsidRPr="00CE0422">
          <w:rPr>
            <w:noProof/>
            <w:webHidden/>
            <w:sz w:val="24"/>
            <w:szCs w:val="24"/>
          </w:rPr>
          <w:fldChar w:fldCharType="separate"/>
        </w:r>
        <w:r w:rsidR="00C53B1A" w:rsidRPr="00CE0422">
          <w:rPr>
            <w:noProof/>
            <w:webHidden/>
            <w:sz w:val="24"/>
            <w:szCs w:val="24"/>
          </w:rPr>
          <w:t>3</w:t>
        </w:r>
        <w:r w:rsidR="009F46B8" w:rsidRPr="00CE0422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CE0422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0C4386" w:rsidRPr="00CE0422">
          <w:rPr>
            <w:rFonts w:eastAsia="Arial Unicode MS"/>
            <w:b/>
            <w:noProof/>
            <w:sz w:val="24"/>
            <w:szCs w:val="24"/>
            <w:u w:val="single"/>
          </w:rPr>
          <w:t>Ремонт и обслуживание легковых автомобилей</w:t>
        </w:r>
        <w:r w:rsidR="009B18A2" w:rsidRPr="00CE0422">
          <w:rPr>
            <w:rStyle w:val="ae"/>
            <w:noProof/>
            <w:sz w:val="24"/>
            <w:szCs w:val="24"/>
          </w:rPr>
          <w:t>»</w:t>
        </w:r>
        <w:r w:rsidR="009B18A2" w:rsidRPr="00CE0422">
          <w:rPr>
            <w:noProof/>
            <w:webHidden/>
            <w:sz w:val="24"/>
            <w:szCs w:val="24"/>
          </w:rPr>
          <w:tab/>
        </w:r>
      </w:hyperlink>
      <w:r w:rsidR="0025143A">
        <w:rPr>
          <w:sz w:val="24"/>
          <w:szCs w:val="24"/>
        </w:rPr>
        <w:t>3</w:t>
      </w:r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CE0422">
          <w:rPr>
            <w:rStyle w:val="ae"/>
            <w:noProof/>
            <w:sz w:val="24"/>
            <w:szCs w:val="24"/>
          </w:rPr>
          <w:t>1.3. ТРЕБОВАНИЯ К СХЕМЕ ОЦЕНКИ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25143A">
          <w:rPr>
            <w:noProof/>
            <w:webHidden/>
            <w:sz w:val="24"/>
            <w:szCs w:val="24"/>
          </w:rPr>
          <w:t>7</w:t>
        </w:r>
      </w:hyperlink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CE0422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25143A">
          <w:rPr>
            <w:noProof/>
            <w:webHidden/>
            <w:sz w:val="24"/>
            <w:szCs w:val="24"/>
          </w:rPr>
          <w:t>8</w:t>
        </w:r>
      </w:hyperlink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CE0422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25143A">
          <w:rPr>
            <w:noProof/>
            <w:webHidden/>
            <w:sz w:val="24"/>
            <w:szCs w:val="24"/>
          </w:rPr>
          <w:t>9</w:t>
        </w:r>
      </w:hyperlink>
    </w:p>
    <w:p w:rsidR="009B18A2" w:rsidRPr="00CE0422" w:rsidRDefault="00F620A8" w:rsidP="00C53B1A">
      <w:pPr>
        <w:pStyle w:val="25"/>
        <w:spacing w:line="276" w:lineRule="auto"/>
        <w:jc w:val="both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CE0422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25143A">
          <w:rPr>
            <w:noProof/>
            <w:webHidden/>
            <w:sz w:val="24"/>
            <w:szCs w:val="24"/>
          </w:rPr>
          <w:t>12</w:t>
        </w:r>
      </w:hyperlink>
    </w:p>
    <w:p w:rsidR="009B18A2" w:rsidRDefault="00F620A8" w:rsidP="0025143A">
      <w:pPr>
        <w:pStyle w:val="25"/>
        <w:jc w:val="both"/>
        <w:rPr>
          <w:sz w:val="24"/>
          <w:szCs w:val="24"/>
        </w:rPr>
      </w:pPr>
      <w:hyperlink w:anchor="_Toc124422972" w:history="1">
        <w:r w:rsidR="009B18A2" w:rsidRPr="00CE0422">
          <w:rPr>
            <w:rStyle w:val="ae"/>
            <w:noProof/>
            <w:sz w:val="24"/>
            <w:szCs w:val="24"/>
          </w:rPr>
          <w:t xml:space="preserve">2.1. </w:t>
        </w:r>
        <w:r w:rsidR="009B18A2" w:rsidRPr="00CE0422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CE0422">
          <w:rPr>
            <w:noProof/>
            <w:webHidden/>
            <w:sz w:val="24"/>
            <w:szCs w:val="24"/>
          </w:rPr>
          <w:tab/>
        </w:r>
        <w:r w:rsidR="0025143A">
          <w:rPr>
            <w:noProof/>
            <w:webHidden/>
            <w:sz w:val="24"/>
            <w:szCs w:val="24"/>
          </w:rPr>
          <w:t>12</w:t>
        </w:r>
      </w:hyperlink>
    </w:p>
    <w:p w:rsidR="0025143A" w:rsidRPr="0025143A" w:rsidRDefault="0025143A" w:rsidP="0025143A">
      <w:pPr>
        <w:pStyle w:val="3"/>
        <w:tabs>
          <w:tab w:val="left" w:leader="dot" w:pos="9356"/>
        </w:tabs>
        <w:spacing w:before="0" w:line="240" w:lineRule="auto"/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</w:pPr>
      <w:r w:rsidRPr="0025143A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2.2.Материалы, оборудование и инструменты, запрещенные на площадке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12</w:t>
      </w:r>
    </w:p>
    <w:p w:rsidR="0025143A" w:rsidRPr="0025143A" w:rsidRDefault="0025143A" w:rsidP="0025143A">
      <w:pPr>
        <w:rPr>
          <w:lang w:eastAsia="ru-RU"/>
        </w:rPr>
      </w:pPr>
    </w:p>
    <w:p w:rsidR="009B18A2" w:rsidRPr="0025143A" w:rsidRDefault="009B18A2" w:rsidP="00C53B1A">
      <w:pPr>
        <w:pStyle w:val="11"/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</w:p>
    <w:p w:rsidR="00AA2B8A" w:rsidRPr="00A204BB" w:rsidRDefault="009F46B8" w:rsidP="00C53B1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E0422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bookmarkStart w:id="0" w:name="_Toc450204622"/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О–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техническое обслуживание</w:t>
      </w:r>
    </w:p>
    <w:p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 xml:space="preserve"> ЭСУД – электронные систему управления двигателем</w:t>
      </w:r>
    </w:p>
    <w:p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5. АКПП – автоматическая коробка передач</w:t>
      </w:r>
    </w:p>
    <w:p w:rsidR="00C53B1A" w:rsidRPr="009C289D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6. КПП – коробка передач</w:t>
      </w: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C53B1A" w:rsidRPr="00D17132" w:rsidRDefault="00C53B1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644475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644475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644475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C53B1A" w:rsidRPr="003732A7" w:rsidTr="008E616C">
        <w:tc>
          <w:tcPr>
            <w:tcW w:w="330" w:type="pct"/>
            <w:shd w:val="clear" w:color="auto" w:fill="92D050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53B1A" w:rsidRPr="000244DA" w:rsidRDefault="00C53B1A" w:rsidP="00C53B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463DE5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F21512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результаты регулировки узлов, агрегатов и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Ремонт, обслуживание и регулировка. </w:t>
            </w: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DA" w:rsidRPr="00E579D6" w:rsidRDefault="000244DA" w:rsidP="00C53B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044" w:type="pct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727"/>
        <w:gridCol w:w="1161"/>
        <w:gridCol w:w="1017"/>
        <w:gridCol w:w="1023"/>
        <w:gridCol w:w="1011"/>
        <w:gridCol w:w="1014"/>
      </w:tblGrid>
      <w:tr w:rsidR="00CE0422" w:rsidRPr="00613219" w:rsidTr="00CE0422">
        <w:trPr>
          <w:trHeight w:val="567"/>
          <w:jc w:val="center"/>
        </w:trPr>
        <w:tc>
          <w:tcPr>
            <w:tcW w:w="4364" w:type="pct"/>
            <w:gridSpan w:val="6"/>
            <w:shd w:val="clear" w:color="auto" w:fill="92D050"/>
            <w:vAlign w:val="center"/>
          </w:tcPr>
          <w:p w:rsidR="00CE0422" w:rsidRPr="00CE0422" w:rsidRDefault="00CE0422" w:rsidP="00402EF6">
            <w:pPr>
              <w:jc w:val="center"/>
              <w:rPr>
                <w:b/>
                <w:color w:val="000000" w:themeColor="text1"/>
              </w:rPr>
            </w:pPr>
            <w:r w:rsidRPr="00CE0422">
              <w:rPr>
                <w:b/>
                <w:color w:val="000000" w:themeColor="text1"/>
              </w:rPr>
              <w:t>Критерий/Модуль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CE0422" w:rsidRPr="00613219" w:rsidRDefault="00CE0422" w:rsidP="00CE0422">
            <w:pPr>
              <w:ind w:right="172" w:hanging="176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 w:val="restart"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456" w:type="pct"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41" w:type="pct"/>
            <w:gridSpan w:val="4"/>
            <w:shd w:val="clear" w:color="auto" w:fill="00B050"/>
            <w:vAlign w:val="center"/>
          </w:tcPr>
          <w:p w:rsidR="00CE0422" w:rsidRDefault="00CE0422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636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6" w:type="pct"/>
            <w:gridSpan w:val="2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42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34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36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92D050"/>
            <w:vAlign w:val="center"/>
          </w:tcPr>
          <w:p w:rsidR="00CE0422" w:rsidRPr="00613219" w:rsidRDefault="00CE0422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8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637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642" w:type="pct"/>
            <w:shd w:val="clear" w:color="auto" w:fill="00B050"/>
            <w:vAlign w:val="center"/>
          </w:tcPr>
          <w:p w:rsidR="00CE0422" w:rsidRDefault="00CE0422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4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6" w:type="pct"/>
            <w:shd w:val="clear" w:color="auto" w:fill="00B050"/>
            <w:vAlign w:val="center"/>
          </w:tcPr>
          <w:p w:rsidR="00CE0422" w:rsidRPr="00613219" w:rsidRDefault="00CE0422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CE0422" w:rsidRPr="00613219" w:rsidRDefault="00CE0422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28" w:type="pct"/>
            <w:vAlign w:val="center"/>
          </w:tcPr>
          <w:p w:rsidR="00CE0422" w:rsidRPr="00C65C4E" w:rsidRDefault="00CE0422" w:rsidP="009474EF">
            <w:pPr>
              <w:jc w:val="center"/>
            </w:pPr>
            <w:r w:rsidRPr="00C65C4E">
              <w:t>0,</w:t>
            </w:r>
            <w:r>
              <w:t>8</w:t>
            </w:r>
            <w:r w:rsidRPr="00C65C4E">
              <w:t>0</w:t>
            </w:r>
          </w:p>
        </w:tc>
        <w:tc>
          <w:tcPr>
            <w:tcW w:w="637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1,20</w:t>
            </w:r>
          </w:p>
        </w:tc>
        <w:tc>
          <w:tcPr>
            <w:tcW w:w="642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2,00</w:t>
            </w:r>
          </w:p>
        </w:tc>
        <w:tc>
          <w:tcPr>
            <w:tcW w:w="634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2,00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9474EF">
            <w:pPr>
              <w:jc w:val="center"/>
            </w:pPr>
            <w:r>
              <w:t>6</w:t>
            </w: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CE0422" w:rsidRPr="00613219" w:rsidRDefault="00CE0422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28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1,20</w:t>
            </w:r>
          </w:p>
        </w:tc>
        <w:tc>
          <w:tcPr>
            <w:tcW w:w="637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1,80</w:t>
            </w:r>
          </w:p>
        </w:tc>
        <w:tc>
          <w:tcPr>
            <w:tcW w:w="642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3,00</w:t>
            </w:r>
          </w:p>
        </w:tc>
        <w:tc>
          <w:tcPr>
            <w:tcW w:w="634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9474EF">
            <w:pPr>
              <w:jc w:val="center"/>
            </w:pPr>
            <w:r>
              <w:t>9</w:t>
            </w: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CE0422" w:rsidRPr="00613219" w:rsidRDefault="00CE0422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28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2,00</w:t>
            </w:r>
          </w:p>
        </w:tc>
        <w:tc>
          <w:tcPr>
            <w:tcW w:w="637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3,00</w:t>
            </w:r>
          </w:p>
        </w:tc>
        <w:tc>
          <w:tcPr>
            <w:tcW w:w="642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5,00</w:t>
            </w:r>
          </w:p>
        </w:tc>
        <w:tc>
          <w:tcPr>
            <w:tcW w:w="634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5,00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15</w:t>
            </w: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CE0422" w:rsidRPr="00613219" w:rsidRDefault="00CE0422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28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1,20</w:t>
            </w:r>
          </w:p>
        </w:tc>
        <w:tc>
          <w:tcPr>
            <w:tcW w:w="637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1,80</w:t>
            </w:r>
          </w:p>
        </w:tc>
        <w:tc>
          <w:tcPr>
            <w:tcW w:w="642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3,00</w:t>
            </w:r>
          </w:p>
        </w:tc>
        <w:tc>
          <w:tcPr>
            <w:tcW w:w="634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9474EF">
            <w:pPr>
              <w:jc w:val="center"/>
            </w:pPr>
            <w:r>
              <w:t>9</w:t>
            </w:r>
          </w:p>
        </w:tc>
      </w:tr>
      <w:tr w:rsidR="00CE0422" w:rsidRPr="00613219" w:rsidTr="00CE0422">
        <w:trPr>
          <w:trHeight w:val="567"/>
          <w:jc w:val="center"/>
        </w:trPr>
        <w:tc>
          <w:tcPr>
            <w:tcW w:w="1266" w:type="pct"/>
            <w:vMerge/>
            <w:shd w:val="clear" w:color="auto" w:fill="92D050"/>
            <w:vAlign w:val="center"/>
          </w:tcPr>
          <w:p w:rsidR="00CE0422" w:rsidRPr="00613219" w:rsidRDefault="00CE0422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00B050"/>
            <w:vAlign w:val="center"/>
          </w:tcPr>
          <w:p w:rsidR="00CE0422" w:rsidRPr="00613219" w:rsidRDefault="00CE0422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28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3,80</w:t>
            </w:r>
          </w:p>
        </w:tc>
        <w:tc>
          <w:tcPr>
            <w:tcW w:w="637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4,20</w:t>
            </w:r>
          </w:p>
        </w:tc>
        <w:tc>
          <w:tcPr>
            <w:tcW w:w="642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7,00</w:t>
            </w:r>
          </w:p>
        </w:tc>
        <w:tc>
          <w:tcPr>
            <w:tcW w:w="634" w:type="pct"/>
            <w:vAlign w:val="center"/>
          </w:tcPr>
          <w:p w:rsidR="00CE0422" w:rsidRPr="00C65C4E" w:rsidRDefault="00CE0422" w:rsidP="009474EF">
            <w:pPr>
              <w:jc w:val="center"/>
            </w:pPr>
            <w:r>
              <w:t>7,00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9474EF">
            <w:pPr>
              <w:jc w:val="center"/>
            </w:pPr>
            <w:r>
              <w:t>22</w:t>
            </w:r>
          </w:p>
        </w:tc>
      </w:tr>
      <w:tr w:rsidR="00CE0422" w:rsidRPr="00613219" w:rsidTr="00CE0422">
        <w:trPr>
          <w:trHeight w:val="50"/>
          <w:jc w:val="center"/>
        </w:trPr>
        <w:tc>
          <w:tcPr>
            <w:tcW w:w="1722" w:type="pct"/>
            <w:gridSpan w:val="2"/>
            <w:shd w:val="clear" w:color="auto" w:fill="00B050"/>
            <w:vAlign w:val="center"/>
          </w:tcPr>
          <w:p w:rsidR="00CE0422" w:rsidRPr="00613219" w:rsidRDefault="00CE0422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366" w:type="pct"/>
            <w:gridSpan w:val="2"/>
            <w:shd w:val="clear" w:color="auto" w:fill="F2F2F2" w:themeFill="background1" w:themeFillShade="F2"/>
            <w:vAlign w:val="center"/>
          </w:tcPr>
          <w:p w:rsidR="00CE0422" w:rsidRPr="00C65C4E" w:rsidRDefault="00CE0422" w:rsidP="00402EF6">
            <w:pPr>
              <w:jc w:val="center"/>
            </w:pPr>
            <w:r>
              <w:t>20,00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402EF6">
            <w:pPr>
              <w:jc w:val="center"/>
            </w:pPr>
            <w:r>
              <w:t>20,00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402EF6">
            <w:pPr>
              <w:jc w:val="center"/>
            </w:pPr>
            <w:r>
              <w:t>20,00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:rsidR="00CE0422" w:rsidRPr="00C65C4E" w:rsidRDefault="00CE0422" w:rsidP="00402E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4EF" w:rsidRDefault="009474EF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615B0" w:rsidRDefault="00A615B0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9474EF" w:rsidRDefault="00947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124422969"/>
      <w:r>
        <w:rPr>
          <w:rFonts w:ascii="Times New Roman" w:hAnsi="Times New Roman"/>
          <w:sz w:val="24"/>
        </w:rPr>
        <w:br w:type="page"/>
      </w: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A615B0" w:rsidRDefault="00A615B0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19" w:rsidRDefault="00DE39D8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C53B1A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37D28" w:rsidRPr="004904C5" w:rsidRDefault="00C65C4E" w:rsidP="00C5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:rsidTr="00C53B1A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9" w:type="pct"/>
            <w:shd w:val="clear" w:color="auto" w:fill="92D050"/>
            <w:vAlign w:val="center"/>
          </w:tcPr>
          <w:p w:rsidR="00C65C4E" w:rsidRDefault="00C65C4E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</w:p>
          <w:p w:rsidR="007D40A8" w:rsidRPr="007D40A8" w:rsidRDefault="009E4B7A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:rsidR="00C65C4E" w:rsidRPr="007D40A8" w:rsidRDefault="007C315D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:rsidTr="00C53B1A">
        <w:tc>
          <w:tcPr>
            <w:tcW w:w="282" w:type="pct"/>
            <w:shd w:val="clear" w:color="auto" w:fill="00B050"/>
          </w:tcPr>
          <w:p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9" w:type="pct"/>
            <w:shd w:val="clear" w:color="auto" w:fill="92D050"/>
            <w:vAlign w:val="center"/>
          </w:tcPr>
          <w:p w:rsidR="00C65C4E" w:rsidRDefault="005C4BE3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Диагностика электронных систем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:rsidTr="00C53B1A">
        <w:tc>
          <w:tcPr>
            <w:tcW w:w="282" w:type="pct"/>
            <w:shd w:val="clear" w:color="auto" w:fill="00B050"/>
          </w:tcPr>
          <w:p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02EF6" w:rsidRPr="00C65C4E" w:rsidRDefault="00402EF6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</w:t>
            </w:r>
            <w:proofErr w:type="spellStart"/>
            <w:proofErr w:type="gramStart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элементов</w:t>
            </w:r>
            <w:proofErr w:type="spellEnd"/>
            <w:proofErr w:type="gramEnd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интерьера-экстерьера автомобиля</w:t>
            </w:r>
          </w:p>
          <w:p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:rsidTr="00C53B1A">
        <w:tc>
          <w:tcPr>
            <w:tcW w:w="282" w:type="pct"/>
            <w:shd w:val="clear" w:color="auto" w:fill="00B050"/>
          </w:tcPr>
          <w:p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2850CF" w:rsidRPr="00C65C4E" w:rsidRDefault="002850CF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 xml:space="preserve">ка передач </w:t>
            </w:r>
            <w:r>
              <w:rPr>
                <w:b/>
                <w:sz w:val="24"/>
                <w:szCs w:val="24"/>
              </w:rPr>
              <w:lastRenderedPageBreak/>
              <w:t>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lastRenderedPageBreak/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слесарного и специального ручного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механической коробки перемены передач, на основе объективных данных и технического контроля </w:t>
            </w:r>
          </w:p>
          <w:p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A6573F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A657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лет и более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444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C53B1A" w:rsidRDefault="00C53B1A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422" w:rsidRDefault="00CE0422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422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E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CE0422" w:rsidRDefault="00CE042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22" w:rsidRPr="008C41F7" w:rsidRDefault="00CE042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8C41F7" w:rsidRPr="00640E46" w:rsidRDefault="00F620A8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1" w:history="1">
        <w:r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9"/>
    </w:p>
    <w:p w:rsidR="00DA1071" w:rsidRPr="000B55A2" w:rsidRDefault="00DA1071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0B55A2" w:rsidRPr="00407E06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407E06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</w:t>
      </w:r>
      <w:proofErr w:type="gramStart"/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:rsidR="00730AE0" w:rsidRPr="00407E06" w:rsidRDefault="00320C6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:rsidR="001B74DE" w:rsidRPr="00407E06" w:rsidRDefault="00730AE0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1B74DE" w:rsidRP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</w:t>
      </w:r>
      <w:proofErr w:type="spellStart"/>
      <w:r w:rsidRPr="00407E06"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 w:rsidRPr="00407E06">
        <w:rPr>
          <w:rFonts w:ascii="Times New Roman" w:hAnsi="Times New Roman" w:cs="Times New Roman"/>
          <w:sz w:val="28"/>
          <w:szCs w:val="24"/>
        </w:rPr>
        <w:t xml:space="preserve">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:rsidR="00A23E64" w:rsidRPr="00407E06" w:rsidRDefault="00246556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:rsidR="00A23E64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="00934B9B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:rsidR="00AF008E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:rsidR="00A23E64" w:rsidRDefault="00C564D5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DA1071" w:rsidRPr="00407E06" w:rsidRDefault="00DA107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AF008E" w:rsidRPr="00C97E44" w:rsidRDefault="00407E06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</w:t>
      </w:r>
      <w:proofErr w:type="gramStart"/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</w:p>
    <w:p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1час</w:t>
      </w:r>
    </w:p>
    <w:p w:rsid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F008E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:rsidR="00407E06" w:rsidRPr="008D2342" w:rsidRDefault="00407E06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lastRenderedPageBreak/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730AE0" w:rsidRPr="00C97E44" w:rsidRDefault="00730AE0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3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C97E44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:rsidR="009F7AEE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30AE0" w:rsidRPr="009F7AEE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246556" w:rsidRPr="00C564D5" w:rsidRDefault="00C564D5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675969" w:rsidRDefault="00C564D5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:rsidR="00DA1071" w:rsidRPr="009474EF" w:rsidRDefault="00DA107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3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194"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C40FB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23E64" w:rsidRDefault="00675969" w:rsidP="00DA107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</w:t>
      </w:r>
      <w:bookmarkStart w:id="10" w:name="_GoBack"/>
      <w:bookmarkEnd w:id="10"/>
      <w:r>
        <w:rPr>
          <w:rFonts w:ascii="Times New Roman" w:hAnsi="Times New Roman"/>
          <w:sz w:val="28"/>
          <w:szCs w:val="24"/>
        </w:rPr>
        <w:t>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валов.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:rsidR="00531E4B" w:rsidRPr="00F541AD" w:rsidRDefault="00531E4B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0C40FB" w:rsidRDefault="000C40FB" w:rsidP="00531E4B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:rsidR="00754396" w:rsidRPr="008C41F7" w:rsidRDefault="0075439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25143A" w:rsidRPr="0025143A" w:rsidRDefault="0025143A" w:rsidP="0025143A"/>
    <w:p w:rsidR="00DA1071" w:rsidRDefault="00DA1071" w:rsidP="00DA10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DA1071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DA1071">
        <w:rPr>
          <w:rFonts w:ascii="Times New Roman" w:hAnsi="Times New Roman"/>
          <w:color w:val="000000"/>
          <w:szCs w:val="28"/>
        </w:rPr>
        <w:t>2</w:t>
      </w:r>
      <w:r w:rsidR="00FB022D" w:rsidRPr="00DA1071">
        <w:rPr>
          <w:rFonts w:ascii="Times New Roman" w:hAnsi="Times New Roman"/>
          <w:color w:val="000000"/>
          <w:szCs w:val="28"/>
        </w:rPr>
        <w:t>.</w:t>
      </w:r>
      <w:r w:rsidRPr="00DA1071">
        <w:rPr>
          <w:rFonts w:ascii="Times New Roman" w:hAnsi="Times New Roman"/>
          <w:color w:val="000000"/>
          <w:szCs w:val="28"/>
        </w:rPr>
        <w:t>1</w:t>
      </w:r>
      <w:r w:rsidR="00FB022D" w:rsidRPr="00DA1071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DA10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DA1071" w:rsidRPr="00DA1071" w:rsidRDefault="00DA1071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материалы, представленные на конкурсной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F2A" w:rsidRPr="00DA1071" w:rsidRDefault="00A11569" w:rsidP="000C438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DA1071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</w:t>
      </w:r>
      <w:bookmarkEnd w:id="15"/>
      <w:r w:rsidR="000C4386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E15F2A" w:rsidRPr="00DA10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F2A" w:rsidRPr="00DA1071" w:rsidRDefault="00AA4E7C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8" w:rsidRDefault="00F620A8" w:rsidP="00970F49">
      <w:pPr>
        <w:spacing w:after="0" w:line="240" w:lineRule="auto"/>
      </w:pPr>
      <w:r>
        <w:separator/>
      </w:r>
    </w:p>
  </w:endnote>
  <w:endnote w:type="continuationSeparator" w:id="0">
    <w:p w:rsidR="00F620A8" w:rsidRDefault="00F620A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83277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83277C" w:rsidRPr="00A204BB" w:rsidRDefault="0083277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83277C" w:rsidRPr="00A204BB" w:rsidRDefault="009F46B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83277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34B9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83277C" w:rsidRDefault="008327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8" w:rsidRDefault="00F620A8" w:rsidP="00970F49">
      <w:pPr>
        <w:spacing w:after="0" w:line="240" w:lineRule="auto"/>
      </w:pPr>
      <w:r>
        <w:separator/>
      </w:r>
    </w:p>
  </w:footnote>
  <w:footnote w:type="continuationSeparator" w:id="0">
    <w:p w:rsidR="00F620A8" w:rsidRDefault="00F620A8" w:rsidP="00970F49">
      <w:pPr>
        <w:spacing w:after="0" w:line="240" w:lineRule="auto"/>
      </w:pPr>
      <w:r>
        <w:continuationSeparator/>
      </w:r>
    </w:p>
  </w:footnote>
  <w:footnote w:id="1">
    <w:p w:rsidR="0083277C" w:rsidRDefault="0083277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83277C" w:rsidRDefault="0083277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C" w:rsidRPr="00B45AA4" w:rsidRDefault="0083277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6CDE"/>
    <w:rsid w:val="00062C95"/>
    <w:rsid w:val="00067386"/>
    <w:rsid w:val="00081D65"/>
    <w:rsid w:val="00085B20"/>
    <w:rsid w:val="0009736A"/>
    <w:rsid w:val="000A1F96"/>
    <w:rsid w:val="000B3397"/>
    <w:rsid w:val="000B55A2"/>
    <w:rsid w:val="000C40FB"/>
    <w:rsid w:val="000C4386"/>
    <w:rsid w:val="000C6042"/>
    <w:rsid w:val="000D258B"/>
    <w:rsid w:val="000D43CC"/>
    <w:rsid w:val="000D4C46"/>
    <w:rsid w:val="000D74AA"/>
    <w:rsid w:val="000E4637"/>
    <w:rsid w:val="000F0FC3"/>
    <w:rsid w:val="001024BE"/>
    <w:rsid w:val="00114D79"/>
    <w:rsid w:val="0011767F"/>
    <w:rsid w:val="00127743"/>
    <w:rsid w:val="00154C5B"/>
    <w:rsid w:val="0015561E"/>
    <w:rsid w:val="001627D5"/>
    <w:rsid w:val="0017612A"/>
    <w:rsid w:val="001B74DE"/>
    <w:rsid w:val="001C63E7"/>
    <w:rsid w:val="001E1DF9"/>
    <w:rsid w:val="001E326F"/>
    <w:rsid w:val="001F01FF"/>
    <w:rsid w:val="00220E70"/>
    <w:rsid w:val="00237603"/>
    <w:rsid w:val="00246556"/>
    <w:rsid w:val="0025143A"/>
    <w:rsid w:val="00270E01"/>
    <w:rsid w:val="002776A1"/>
    <w:rsid w:val="002850CF"/>
    <w:rsid w:val="0029547E"/>
    <w:rsid w:val="002B1426"/>
    <w:rsid w:val="002C16F4"/>
    <w:rsid w:val="002F2906"/>
    <w:rsid w:val="00320C60"/>
    <w:rsid w:val="003242E1"/>
    <w:rsid w:val="00333911"/>
    <w:rsid w:val="00334165"/>
    <w:rsid w:val="003531E7"/>
    <w:rsid w:val="003601A4"/>
    <w:rsid w:val="00365969"/>
    <w:rsid w:val="0037535C"/>
    <w:rsid w:val="003934F8"/>
    <w:rsid w:val="00397A1B"/>
    <w:rsid w:val="003A21C8"/>
    <w:rsid w:val="003C1D7A"/>
    <w:rsid w:val="003C5F97"/>
    <w:rsid w:val="003D1E51"/>
    <w:rsid w:val="00402EF6"/>
    <w:rsid w:val="00407E06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1E4B"/>
    <w:rsid w:val="00552953"/>
    <w:rsid w:val="00554CBB"/>
    <w:rsid w:val="005560AC"/>
    <w:rsid w:val="0056194A"/>
    <w:rsid w:val="00565B7C"/>
    <w:rsid w:val="005A1625"/>
    <w:rsid w:val="005A7756"/>
    <w:rsid w:val="005B05D5"/>
    <w:rsid w:val="005B0DEC"/>
    <w:rsid w:val="005B1C40"/>
    <w:rsid w:val="005B66FC"/>
    <w:rsid w:val="005C4BE3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475"/>
    <w:rsid w:val="0064491A"/>
    <w:rsid w:val="00653B50"/>
    <w:rsid w:val="00662934"/>
    <w:rsid w:val="00675969"/>
    <w:rsid w:val="006776B4"/>
    <w:rsid w:val="006873B8"/>
    <w:rsid w:val="006B0FEA"/>
    <w:rsid w:val="006C6D6D"/>
    <w:rsid w:val="006C7A3B"/>
    <w:rsid w:val="006C7CE4"/>
    <w:rsid w:val="006F4464"/>
    <w:rsid w:val="00712403"/>
    <w:rsid w:val="00714CA4"/>
    <w:rsid w:val="007250D9"/>
    <w:rsid w:val="007274B8"/>
    <w:rsid w:val="00727F97"/>
    <w:rsid w:val="00730AE0"/>
    <w:rsid w:val="0073496B"/>
    <w:rsid w:val="0074372D"/>
    <w:rsid w:val="00754396"/>
    <w:rsid w:val="00755B85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C315D"/>
    <w:rsid w:val="007D3601"/>
    <w:rsid w:val="007D40A8"/>
    <w:rsid w:val="007D6C20"/>
    <w:rsid w:val="007E73B4"/>
    <w:rsid w:val="00812516"/>
    <w:rsid w:val="0083277C"/>
    <w:rsid w:val="00832EBB"/>
    <w:rsid w:val="00834734"/>
    <w:rsid w:val="00835BF6"/>
    <w:rsid w:val="008567DB"/>
    <w:rsid w:val="00874716"/>
    <w:rsid w:val="008761F3"/>
    <w:rsid w:val="00881DD2"/>
    <w:rsid w:val="00882B54"/>
    <w:rsid w:val="008912AE"/>
    <w:rsid w:val="008B0F23"/>
    <w:rsid w:val="008B560B"/>
    <w:rsid w:val="008C41F7"/>
    <w:rsid w:val="008D2342"/>
    <w:rsid w:val="008D288A"/>
    <w:rsid w:val="008D6DCF"/>
    <w:rsid w:val="008E5424"/>
    <w:rsid w:val="00901689"/>
    <w:rsid w:val="009018F0"/>
    <w:rsid w:val="00906E82"/>
    <w:rsid w:val="00934B9B"/>
    <w:rsid w:val="00945E13"/>
    <w:rsid w:val="009474EF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D04EE"/>
    <w:rsid w:val="009E37D3"/>
    <w:rsid w:val="009E4B7A"/>
    <w:rsid w:val="009E52E7"/>
    <w:rsid w:val="009F46B8"/>
    <w:rsid w:val="009F57C0"/>
    <w:rsid w:val="009F7AEE"/>
    <w:rsid w:val="00A0510D"/>
    <w:rsid w:val="00A11569"/>
    <w:rsid w:val="00A204BB"/>
    <w:rsid w:val="00A20A67"/>
    <w:rsid w:val="00A23E64"/>
    <w:rsid w:val="00A27EE4"/>
    <w:rsid w:val="00A57976"/>
    <w:rsid w:val="00A615B0"/>
    <w:rsid w:val="00A636B8"/>
    <w:rsid w:val="00A6573F"/>
    <w:rsid w:val="00A8496D"/>
    <w:rsid w:val="00A85D42"/>
    <w:rsid w:val="00A87627"/>
    <w:rsid w:val="00A91D4B"/>
    <w:rsid w:val="00A962D4"/>
    <w:rsid w:val="00A9790B"/>
    <w:rsid w:val="00AA2B8A"/>
    <w:rsid w:val="00AA4E7C"/>
    <w:rsid w:val="00AD2200"/>
    <w:rsid w:val="00AD5B7B"/>
    <w:rsid w:val="00AE6AB7"/>
    <w:rsid w:val="00AE7A32"/>
    <w:rsid w:val="00AF008E"/>
    <w:rsid w:val="00B162B5"/>
    <w:rsid w:val="00B236AD"/>
    <w:rsid w:val="00B30A26"/>
    <w:rsid w:val="00B31296"/>
    <w:rsid w:val="00B37579"/>
    <w:rsid w:val="00B40FFB"/>
    <w:rsid w:val="00B4196F"/>
    <w:rsid w:val="00B45225"/>
    <w:rsid w:val="00B45392"/>
    <w:rsid w:val="00B45AA4"/>
    <w:rsid w:val="00B610A2"/>
    <w:rsid w:val="00BA2CF0"/>
    <w:rsid w:val="00BC3813"/>
    <w:rsid w:val="00BC7808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3B1A"/>
    <w:rsid w:val="00C564D5"/>
    <w:rsid w:val="00C56A9B"/>
    <w:rsid w:val="00C65C4E"/>
    <w:rsid w:val="00C740CF"/>
    <w:rsid w:val="00C8277D"/>
    <w:rsid w:val="00C95538"/>
    <w:rsid w:val="00C96567"/>
    <w:rsid w:val="00C97E44"/>
    <w:rsid w:val="00CA6CCD"/>
    <w:rsid w:val="00CA6E2B"/>
    <w:rsid w:val="00CC50B7"/>
    <w:rsid w:val="00CE0422"/>
    <w:rsid w:val="00CE23E6"/>
    <w:rsid w:val="00CE2498"/>
    <w:rsid w:val="00CE36B8"/>
    <w:rsid w:val="00CF0194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0CC"/>
    <w:rsid w:val="00DA1071"/>
    <w:rsid w:val="00DA51C1"/>
    <w:rsid w:val="00DC0CFD"/>
    <w:rsid w:val="00DE23F8"/>
    <w:rsid w:val="00DE39D8"/>
    <w:rsid w:val="00DE5614"/>
    <w:rsid w:val="00E0407E"/>
    <w:rsid w:val="00E04FDF"/>
    <w:rsid w:val="00E15F2A"/>
    <w:rsid w:val="00E279E8"/>
    <w:rsid w:val="00E56B77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0C07"/>
    <w:rsid w:val="00EE7DA3"/>
    <w:rsid w:val="00F060BE"/>
    <w:rsid w:val="00F1662D"/>
    <w:rsid w:val="00F21512"/>
    <w:rsid w:val="00F21A99"/>
    <w:rsid w:val="00F3099C"/>
    <w:rsid w:val="00F35F4F"/>
    <w:rsid w:val="00F50AC5"/>
    <w:rsid w:val="00F541AD"/>
    <w:rsid w:val="00F6025D"/>
    <w:rsid w:val="00F620A8"/>
    <w:rsid w:val="00F6651B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62C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2_&#1064;&#1082;&#1086;&#1083;&#1100;&#1085;&#1080;&#1082;&#1080;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EAB7-46D3-40AB-A749-8BEDEA7E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16</cp:revision>
  <dcterms:created xsi:type="dcterms:W3CDTF">2023-02-03T10:59:00Z</dcterms:created>
  <dcterms:modified xsi:type="dcterms:W3CDTF">2023-03-09T06:02:00Z</dcterms:modified>
</cp:coreProperties>
</file>