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D943F7" w:rsidRDefault="00D943F7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D943F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D943F7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943F7">
            <w:rPr>
              <w:rFonts w:ascii="Times New Roman" w:eastAsia="Arial Unicode MS" w:hAnsi="Times New Roman" w:cs="Times New Roman"/>
              <w:sz w:val="56"/>
              <w:szCs w:val="56"/>
            </w:rPr>
            <w:t>МЕДИЦИНСКИЙ И СОЦИАЛЬНЫЙ УХОД»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651DD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361D7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6E463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651D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651D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4671A6">
          <w:rPr>
            <w:rStyle w:val="ae"/>
            <w:noProof/>
          </w:rPr>
          <w:t>Медицинский и социальный уход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3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651D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651D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16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651D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18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651D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22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651DD1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 w:rsidR="006E4635">
          <w:rPr>
            <w:noProof/>
            <w:webHidden/>
          </w:rPr>
          <w:fldChar w:fldCharType="end"/>
        </w:r>
      </w:hyperlink>
    </w:p>
    <w:p w:rsidR="009B18A2" w:rsidRDefault="00651DD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6E4635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6E4635">
          <w:rPr>
            <w:noProof/>
            <w:webHidden/>
          </w:rPr>
        </w:r>
        <w:r w:rsidR="006E4635">
          <w:rPr>
            <w:noProof/>
            <w:webHidden/>
          </w:rPr>
          <w:fldChar w:fldCharType="separate"/>
        </w:r>
        <w:r w:rsidR="00603BC7">
          <w:rPr>
            <w:noProof/>
            <w:webHidden/>
          </w:rPr>
          <w:t>25</w:t>
        </w:r>
        <w:r w:rsidR="006E4635">
          <w:rPr>
            <w:noProof/>
            <w:webHidden/>
          </w:rPr>
          <w:fldChar w:fldCharType="end"/>
        </w:r>
      </w:hyperlink>
    </w:p>
    <w:p w:rsidR="00AA2B8A" w:rsidRPr="00A204BB" w:rsidRDefault="006E4635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3492" w:rsidRPr="00786827" w:rsidRDefault="00FB3492" w:rsidP="0019387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медицинская организация.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ЦСО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цифровая система оценки</w:t>
      </w: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19387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ИСМП – инфекция, связанная с оказанием медицинской помощи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3361D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3361D7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361D7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4" w:name="_Hlk123050441"/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</w:t>
      </w:r>
      <w:r w:rsidRPr="00193871">
        <w:rPr>
          <w:rFonts w:ascii="Times New Roman" w:hAnsi="Times New Roman"/>
          <w:color w:val="000000"/>
          <w:szCs w:val="28"/>
          <w:lang w:val="ru-RU"/>
        </w:rPr>
        <w:t>«</w:t>
      </w:r>
      <w:r w:rsidR="003361D7" w:rsidRPr="00193871">
        <w:rPr>
          <w:rFonts w:ascii="Times New Roman" w:hAnsi="Times New Roman"/>
          <w:color w:val="000000"/>
          <w:szCs w:val="28"/>
          <w:lang w:val="ru-RU"/>
        </w:rPr>
        <w:t>Медицинский и социальный уход</w:t>
      </w:r>
      <w:r w:rsidRPr="00193871">
        <w:rPr>
          <w:rFonts w:ascii="Times New Roman" w:hAnsi="Times New Roman"/>
          <w:color w:val="000000"/>
          <w:szCs w:val="28"/>
          <w:lang w:val="ru-RU"/>
        </w:rPr>
        <w:t>»</w:t>
      </w:r>
      <w:bookmarkEnd w:id="6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FA7195" w:rsidRPr="003732A7" w:rsidTr="009B1417">
        <w:tc>
          <w:tcPr>
            <w:tcW w:w="330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7195" w:rsidRPr="003732A7" w:rsidTr="009B141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хранения стерильных медицинских изделий, правила их выдачи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риски, вредные и опасные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сортировку и упаковку медицинских изделий в соответствии с видом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стерилизацию медицинских изделий,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контроль режимов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603BC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медицинские информационные системы и информационно-телекоммуникационную сеть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за выполнением должностных обязанностей находящегося в распоряжении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профилактики неифекционных заболеваний, факторы риска развития хронических неинфекционных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заболеваний, порядок проведения диспансерного наблюдения пациентов при хронических заболеваниях, задачи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</w:t>
            </w: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предотвратимых болезней;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медицинской помощи, осуществление сестринского ухода и наблюдения за пациентами при </w:t>
            </w:r>
            <w:r w:rsidRPr="005C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заболеваниях и (или) состояниях.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2F303A" w:rsidRPr="008766CD" w:rsidRDefault="002F303A" w:rsidP="00193871">
            <w:pPr>
              <w:pStyle w:val="aff8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3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  <w:r>
              <w:rPr>
                <w:sz w:val="28"/>
                <w:szCs w:val="28"/>
              </w:rPr>
              <w:t>;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и порядок подготовки пациента к медицинским вмешательствам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Медицинские изделия (медицинские инструменты, расходные материалы, медицинское оборудование), применяемые для проведения лечебных и (или) </w:t>
            </w:r>
            <w:r w:rsidRPr="002F303A">
              <w:rPr>
                <w:sz w:val="28"/>
                <w:szCs w:val="28"/>
              </w:rPr>
              <w:lastRenderedPageBreak/>
              <w:t>диагностических процедур, оперативных вмешательств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десмургии и транспортной иммобилизации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медицинской реабилитации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-Специалист должен уметь: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Проводить оценку функциональной активности и самостоятельности пациента в самообслуживании, </w:t>
            </w:r>
            <w:r w:rsidRPr="009B1417">
              <w:rPr>
                <w:sz w:val="28"/>
                <w:szCs w:val="28"/>
              </w:rPr>
              <w:lastRenderedPageBreak/>
              <w:t>передвижении, общении; выявлять потребность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питательных смесей через рот (сипинг);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хранение питательных смесей;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зондирование желудка, промывание желудка;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горчичников, банок, пиявок;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применение грелки, пузыря со льдом;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наложение компресса;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трахеостоме, при фарингостоме;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интестинальным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дренажом;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очистительной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газоотводной трубки;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удаление копролитов;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кала;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- постановку сифонной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мочевым катетером;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цистостомой и уростомой;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мочи;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мочевого пузыря;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сосудистым катетером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Определять и интерпретировать реакции пациента на прием назначенных лекарственных препаратов и процедуры ухода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Получать и передавать информацию по вопросам оказания медицинской помощи, в том числе с </w:t>
            </w:r>
            <w:r w:rsidRPr="009B1417">
              <w:rPr>
                <w:sz w:val="28"/>
                <w:szCs w:val="28"/>
              </w:rPr>
              <w:lastRenderedPageBreak/>
              <w:t>пациентами, имеющими нарушения зрения, слуха, поведения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работу по проведению мероприятий медицинской реабилитации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B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19387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193871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68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430"/>
        <w:gridCol w:w="318"/>
        <w:gridCol w:w="1086"/>
        <w:gridCol w:w="1277"/>
        <w:gridCol w:w="1277"/>
        <w:gridCol w:w="992"/>
        <w:gridCol w:w="990"/>
        <w:gridCol w:w="851"/>
        <w:gridCol w:w="1131"/>
        <w:gridCol w:w="714"/>
        <w:gridCol w:w="1133"/>
      </w:tblGrid>
      <w:tr w:rsidR="00C25A8A" w:rsidRPr="00613219" w:rsidTr="00C25A8A">
        <w:trPr>
          <w:trHeight w:val="1538"/>
        </w:trPr>
        <w:tc>
          <w:tcPr>
            <w:tcW w:w="4494" w:type="pct"/>
            <w:gridSpan w:val="10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6" w:type="pct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C25A8A"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C25A8A" w:rsidRPr="00613219" w:rsidTr="009B1417">
        <w:trPr>
          <w:trHeight w:val="50"/>
        </w:trPr>
        <w:tc>
          <w:tcPr>
            <w:tcW w:w="638" w:type="pct"/>
            <w:vMerge w:val="restart"/>
            <w:shd w:val="clear" w:color="auto" w:fill="92D050"/>
            <w:vAlign w:val="center"/>
          </w:tcPr>
          <w:p w:rsidR="00C25A8A" w:rsidRPr="00613219" w:rsidRDefault="00C25A8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25A8A" w:rsidRPr="00613219" w:rsidRDefault="00C25A8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00B050"/>
            <w:vAlign w:val="center"/>
          </w:tcPr>
          <w:p w:rsidR="00C25A8A" w:rsidRPr="00C25A8A" w:rsidRDefault="00C25A8A" w:rsidP="00C25A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C2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00B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</w:tcPr>
          <w:p w:rsidR="00C25A8A" w:rsidRPr="00C25A8A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 w:rsidRPr="00C25A8A">
              <w:rPr>
                <w:b/>
                <w:color w:val="FFFFFF" w:themeColor="background1"/>
              </w:rPr>
              <w:t>Ж</w:t>
            </w:r>
          </w:p>
        </w:tc>
        <w:tc>
          <w:tcPr>
            <w:tcW w:w="319" w:type="pct"/>
            <w:shd w:val="clear" w:color="auto" w:fill="00B050"/>
          </w:tcPr>
          <w:p w:rsidR="00C25A8A" w:rsidRPr="00C25A8A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 xml:space="preserve">       З</w:t>
            </w:r>
          </w:p>
        </w:tc>
        <w:tc>
          <w:tcPr>
            <w:tcW w:w="506" w:type="pct"/>
            <w:shd w:val="clear" w:color="auto" w:fill="00B050"/>
            <w:vAlign w:val="center"/>
          </w:tcPr>
          <w:p w:rsidR="00C25A8A" w:rsidRPr="00613219" w:rsidRDefault="00C25A8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780" w:type="pct"/>
            <w:gridSpan w:val="2"/>
            <w:shd w:val="clear" w:color="auto" w:fill="00B050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5C41AE" w:rsidRDefault="005C41AE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:rsidR="009B1417" w:rsidRDefault="00DE39D8" w:rsidP="001E1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</w:p>
    <w:p w:rsidR="00640E46" w:rsidRPr="0019387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871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 с хронической болезнью почек на дому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871" w:rsidRDefault="00193871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4904C5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</w:t>
            </w:r>
            <w:r w:rsidRPr="00C25A8A">
              <w:rPr>
                <w:b/>
                <w:color w:val="FFFFFF" w:themeColor="background1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с раком печени в  хосписе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193871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38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559"/>
        <w:gridCol w:w="1430"/>
        <w:gridCol w:w="980"/>
        <w:gridCol w:w="709"/>
      </w:tblGrid>
      <w:tr w:rsidR="00024F7D" w:rsidRPr="00024F7D" w:rsidTr="00193871">
        <w:trPr>
          <w:trHeight w:val="1125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43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30" w:type="dxa"/>
            <w:vAlign w:val="center"/>
          </w:tcPr>
          <w:p w:rsidR="00193871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</w:p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вариатив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193871">
        <w:trPr>
          <w:trHeight w:val="512"/>
        </w:trPr>
        <w:tc>
          <w:tcPr>
            <w:tcW w:w="166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0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9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1 Сестринский уход за пациентом после ринопластики в условиях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0" w:anchor="'ИЛ ОБЩИЙ ТЕСТ'!A1" w:history="1">
              <w:r w:rsidR="00193871" w:rsidRPr="00193871">
                <w:rPr>
                  <w:sz w:val="22"/>
                  <w:szCs w:val="22"/>
                </w:rPr>
                <w:t>ИЛ общий</w:t>
              </w:r>
            </w:hyperlink>
          </w:p>
        </w:tc>
        <w:tc>
          <w:tcPr>
            <w:tcW w:w="709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1" w:anchor="КО1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2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3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4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5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625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lastRenderedPageBreak/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6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2 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7" w:anchor="КО2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2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8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19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0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1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2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3 Патронаж пациента с хронической болезнью почек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3" w:anchor="'КО 3'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Проведение мероприятий по профилактике инфекций, связанных с оказанием </w:t>
            </w:r>
            <w:r w:rsidRPr="00193871">
              <w:rPr>
                <w:color w:val="000000"/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4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5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6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7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8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4 Патронаж пациента с рассеяным склерозом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29" w:anchor="КО4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0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1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2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3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4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5 Патронаж пациента  с сахарным диабетом на дому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5" w:anchor="КО5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6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7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8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39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lastRenderedPageBreak/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0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6 Школа активного долголетия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1" w:anchor="КО6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2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3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4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5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225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6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7 Сестринский уход за пациентом  с раком печени в хосписе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980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7" w:anchor="'ИЛ ОБЩИЙ ТЕСТ'!A1" w:history="1">
              <w:r w:rsidR="00193871" w:rsidRPr="00193871">
                <w:rPr>
                  <w:sz w:val="22"/>
                  <w:szCs w:val="22"/>
                </w:rPr>
                <w:t>ИЛ общий</w:t>
              </w:r>
            </w:hyperlink>
          </w:p>
        </w:tc>
        <w:tc>
          <w:tcPr>
            <w:tcW w:w="709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8" w:anchor="КО7!A1" w:history="1">
              <w:r w:rsidR="00193871" w:rsidRPr="00193871">
                <w:rPr>
                  <w:sz w:val="22"/>
                  <w:szCs w:val="22"/>
                </w:rPr>
                <w:t>15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 xml:space="preserve">Проведение мероприятий по профилактике инфекций, связанных с оказанием медицинской </w:t>
            </w:r>
            <w:r w:rsidRPr="00193871">
              <w:rPr>
                <w:color w:val="000000"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49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0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1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2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620"/>
        </w:trPr>
        <w:tc>
          <w:tcPr>
            <w:tcW w:w="1668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3" w:anchor="'Профстандарт  02.065 код A01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sz w:val="22"/>
                <w:szCs w:val="22"/>
              </w:rPr>
            </w:pPr>
            <w:r w:rsidRPr="00193871">
              <w:rPr>
                <w:sz w:val="22"/>
                <w:szCs w:val="22"/>
              </w:rPr>
              <w:t>Модуль 8 Постер</w:t>
            </w:r>
          </w:p>
        </w:tc>
        <w:tc>
          <w:tcPr>
            <w:tcW w:w="1430" w:type="dxa"/>
            <w:vMerge w:val="restart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Вариатив</w:t>
            </w: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 w:val="restart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4" w:anchor="КО8!A1" w:history="1">
              <w:r w:rsidR="00193871" w:rsidRPr="00193871">
                <w:rPr>
                  <w:sz w:val="22"/>
                  <w:szCs w:val="22"/>
                </w:rPr>
                <w:t>10</w:t>
              </w:r>
            </w:hyperlink>
          </w:p>
        </w:tc>
      </w:tr>
      <w:tr w:rsidR="00193871" w:rsidRPr="00193871" w:rsidTr="00193871">
        <w:trPr>
          <w:trHeight w:val="150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5" w:anchor="'Профстандарт  02.065 код A02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6" w:anchor="'Профстандарт  02.065 код A04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1875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7" w:anchor="'Профстандарт  02.065 код A03.5'!A1" w:history="1">
              <w:r w:rsidR="00193871" w:rsidRPr="00193871">
                <w:rPr>
                  <w:sz w:val="22"/>
                  <w:szCs w:val="22"/>
                </w:rPr>
                <w:t xml:space="preserve">ПС:02.065; ФГО СПО 34.02.01 Сестринское дело 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  <w:tr w:rsidR="00193871" w:rsidRPr="00193871" w:rsidTr="00193871">
        <w:trPr>
          <w:trHeight w:val="750"/>
        </w:trPr>
        <w:tc>
          <w:tcPr>
            <w:tcW w:w="1668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hideMark/>
          </w:tcPr>
          <w:p w:rsidR="00193871" w:rsidRPr="00193871" w:rsidRDefault="00193871" w:rsidP="00193871">
            <w:pPr>
              <w:jc w:val="center"/>
              <w:rPr>
                <w:color w:val="000000"/>
                <w:sz w:val="22"/>
                <w:szCs w:val="22"/>
              </w:rPr>
            </w:pPr>
            <w:r w:rsidRPr="00193871">
              <w:rPr>
                <w:color w:val="000000"/>
                <w:sz w:val="22"/>
                <w:szCs w:val="22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hideMark/>
          </w:tcPr>
          <w:p w:rsidR="00193871" w:rsidRPr="00193871" w:rsidRDefault="00651DD1" w:rsidP="00193871">
            <w:pPr>
              <w:jc w:val="center"/>
              <w:rPr>
                <w:sz w:val="22"/>
                <w:szCs w:val="22"/>
              </w:rPr>
            </w:pPr>
            <w:hyperlink r:id="rId58" w:anchor="'Профстандарт  02.065 код A06.5'!A1" w:history="1">
              <w:r w:rsidR="00193871" w:rsidRPr="00193871">
                <w:rPr>
                  <w:sz w:val="22"/>
                  <w:szCs w:val="22"/>
                </w:rPr>
                <w:t>ПС:02.065; ФГО СПО 34.02.01 Сестринское дело</w:t>
              </w:r>
            </w:hyperlink>
          </w:p>
        </w:tc>
        <w:tc>
          <w:tcPr>
            <w:tcW w:w="155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hideMark/>
          </w:tcPr>
          <w:p w:rsidR="00193871" w:rsidRPr="00193871" w:rsidRDefault="00193871" w:rsidP="001938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hideMark/>
          </w:tcPr>
          <w:p w:rsidR="00193871" w:rsidRPr="00193871" w:rsidRDefault="00193871" w:rsidP="0019387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hideMark/>
          </w:tcPr>
          <w:p w:rsidR="00193871" w:rsidRPr="00193871" w:rsidRDefault="00193871" w:rsidP="00193871">
            <w:pPr>
              <w:rPr>
                <w:sz w:val="22"/>
                <w:szCs w:val="22"/>
              </w:rPr>
            </w:pPr>
          </w:p>
        </w:tc>
      </w:tr>
    </w:tbl>
    <w:p w:rsidR="00024F7D" w:rsidRPr="00193871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7469DE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после ринопластики в условиях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 w:rsidRPr="00746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навещаете пациентк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коллега сообщила, что пациентка очень расстроена, агрессивна, конфликтует с персоналом и настроена враждебно. </w:t>
      </w:r>
    </w:p>
    <w:p w:rsidR="007469DE" w:rsidRPr="00CE268C" w:rsidRDefault="007469DE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 w:rsidR="007469DE" w:rsidRPr="00CE268C" w:rsidRDefault="007469DE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выглядит.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назначение врача.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Оказать эмоциональную поддержку и помочь пациенту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469DE" w:rsidRDefault="007469DE" w:rsidP="001E1F9A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9DE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медицинской помощи пациенту с бронхиальной астмой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7469DE" w:rsidRDefault="007469DE" w:rsidP="001E1F9A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30AE0" w:rsidRDefault="00730AE0" w:rsidP="001E1F9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 с хронической болезнью почек на дому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Зарипова Гульшат Раифовна, 65 лет, которой 2 года назад поставили диагноз: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Гипертоническая болезнь III ст. степень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(риск IV высокий).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ХБП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стадии.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Хронический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двухсторонний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Рецидивирующее течение.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неотложную помощь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2B0" w:rsidRPr="00D812B0" w:rsidRDefault="00D812B0" w:rsidP="001E1F9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E1" w:rsidRPr="00F566E1" w:rsidRDefault="00730AE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пациента с рассеянным склерозом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812B0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F566E1" w:rsidRPr="00F566E1" w:rsidRDefault="00E26CAF" w:rsidP="001E1F9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дневного стационара проходит лечение 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,  50 лет. Она уже шесть лет страдает </w:t>
      </w:r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. Пациентка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трость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 w:rsidR="00730AE0" w:rsidRDefault="00730AE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психоэмоциональную поддержку.</w:t>
      </w:r>
    </w:p>
    <w:p w:rsid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профилактику падений.</w:t>
      </w:r>
    </w:p>
    <w:p w:rsidR="00F566E1" w:rsidRPr="00F566E1" w:rsidRDefault="00F566E1" w:rsidP="001E1F9A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Заполнить медицинскую документацию.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с сахарным диабетом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Default="00D812B0" w:rsidP="001E1F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пришли на патронаж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пациенту Стебновскому Глебу Федоровичу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72 года. Его вчера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выписа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стационара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диагнозом: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Сахарный диабет 2 типа, инсулинозависимый.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Диабетическая </w:t>
      </w:r>
      <w:r w:rsidRPr="00503C1D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дистальная сенсомоторная полинейропатия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12B0" w:rsidRPr="00D812B0" w:rsidRDefault="00D812B0" w:rsidP="001E1F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Страдает сахарным диабетом более 10 лет. Пациент живет один, в последнее время его состояние стало ухудшаться. Появилось чувство онемения, покалывания, боль в ногах. Он не контролирует уровень сахара в крови. Любит кушать сдобные булочки и какао на завтрак.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Выявить потребности в обучении пациента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Обучить пациента в соответствии с его потребностями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Выполнить назначения врача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Заполнить медицинскую документацию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1E1F9A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Провести профилактику возможных осложнений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71" w:rsidRDefault="00193871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:rsidR="00D812B0" w:rsidRPr="00955CA2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 w:rsidR="00D812B0" w:rsidRPr="00D812B0" w:rsidRDefault="00D812B0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цикл обучения записались 4 слушателя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D8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12B0" w:rsidRPr="00D812B0" w:rsidRDefault="001E1F9A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</w:p>
    <w:p w:rsidR="00D812B0" w:rsidRPr="00D812B0" w:rsidRDefault="00D812B0" w:rsidP="001E1F9A">
      <w:pPr>
        <w:pStyle w:val="aff1"/>
        <w:numPr>
          <w:ilvl w:val="0"/>
          <w:numId w:val="28"/>
        </w:numPr>
        <w:spacing w:after="0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2B0">
        <w:rPr>
          <w:rFonts w:ascii="Times New Roman" w:eastAsia="Times New Roman" w:hAnsi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с раком печени в  хосписе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:rsidR="00D812B0" w:rsidRDefault="00D812B0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P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Замятина Юлия Викторовна, 71 год,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вчера поступила на 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хоспис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нее в анамнезе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печени в исходе ХВГС.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у нее диагностировали  </w:t>
      </w:r>
      <w:r w:rsidR="00E26CAF"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ролежень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левой пяточной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Пациентка </w:t>
      </w:r>
      <w:r w:rsidR="005F2F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слаба</w:t>
      </w:r>
      <w:r w:rsidR="008A1F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жалуется на сухость во рту, поэтому отказывается от пищи и воды.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пациенту безопасность при передвижении.</w:t>
      </w:r>
    </w:p>
    <w:p w:rsidR="00D812B0" w:rsidRPr="001E1F9A" w:rsidRDefault="00D812B0" w:rsidP="001E1F9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пациенту в приеме пищи.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Default="007469DE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Постер (вариатив)</w:t>
      </w:r>
    </w:p>
    <w:p w:rsidR="00D812B0" w:rsidRPr="00C97E44" w:rsidRDefault="00D812B0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1E1F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60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</w:t>
      </w:r>
    </w:p>
    <w:p w:rsid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Атопическая бронхиальная астма средней степени тяжести. Стадия обострения. Дыхательная недостаточность I степени.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считает это пустой тратой времени. Пациент работает в книжном магазине и живет в квартире. </w:t>
      </w:r>
    </w:p>
    <w:p w:rsidR="00D812B0" w:rsidRDefault="00D812B0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469DE" w:rsidRDefault="007469DE" w:rsidP="001E1F9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постер для пациента Аксенова Сергея Николаевича</w:t>
      </w:r>
      <w:r w:rsidR="00C5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(тему постера обозначает ГЭ чемпионата)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Надписи в постере должны быть достаточно большими.</w:t>
      </w:r>
    </w:p>
    <w:p w:rsidR="00D812B0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 должен быть красочным.</w:t>
      </w:r>
    </w:p>
    <w:p w:rsidR="00D812B0" w:rsidRPr="004273E2" w:rsidRDefault="00D812B0" w:rsidP="001E1F9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Нарисованных элементов должно быть больше, чем написанных.</w:t>
      </w:r>
    </w:p>
    <w:p w:rsid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6CD" w:rsidRDefault="008766CD" w:rsidP="008766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плана работы и материалов для проведения занятия в рамках школы здоровья 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план работы необходимо в течение 20 мин. перед выполнением модуля конкурсного задания.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документы, которые используются при выполнении модуля конкурсного задания, заполняются разборчивым почерком с указанием Ф.И.О. название региона/города и даты. При необходимости используйте разные цвета пасты. </w:t>
      </w:r>
    </w:p>
    <w:p w:rsidR="008766CD" w:rsidRDefault="008766CD" w:rsidP="008766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для выполнения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занятия в рамках школы по отказу от потребления табака» должны быть подготвлены участником до начала чемпионата и использоваться во время выполнения заданий. Презентация должна быть выполнена в Microsoft office 2007 (Power Point). </w:t>
      </w: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1E1F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 w:rsidR="00730AE0" w:rsidRPr="001E1F9A" w:rsidRDefault="004273E2" w:rsidP="001938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EA30C6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9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 w:rsidR="006E35F9" w:rsidRDefault="006E35F9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2 – домашние условия.</w:t>
      </w:r>
    </w:p>
    <w:p w:rsidR="006E35F9" w:rsidRPr="008A2148" w:rsidRDefault="006E35F9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148">
        <w:rPr>
          <w:rFonts w:ascii="Times New Roman" w:eastAsia="Times New Roman" w:hAnsi="Times New Roman"/>
          <w:sz w:val="28"/>
          <w:szCs w:val="28"/>
        </w:rPr>
        <w:lastRenderedPageBreak/>
        <w:t xml:space="preserve">Все зоны воспроизводят реальные направления в данной отрасли, а именно: уход в условиях </w:t>
      </w:r>
      <w:r w:rsidR="00584EE3" w:rsidRPr="008A2148">
        <w:rPr>
          <w:rFonts w:ascii="Times New Roman" w:eastAsia="Times New Roman" w:hAnsi="Times New Roman"/>
          <w:sz w:val="28"/>
          <w:szCs w:val="28"/>
        </w:rPr>
        <w:t>МО</w:t>
      </w:r>
      <w:r w:rsidRPr="008A2148">
        <w:rPr>
          <w:rFonts w:ascii="Times New Roman" w:eastAsia="Times New Roman" w:hAnsi="Times New Roman"/>
          <w:sz w:val="28"/>
          <w:szCs w:val="28"/>
        </w:rPr>
        <w:t xml:space="preserve"> и в домашних условиях. </w:t>
      </w:r>
    </w:p>
    <w:p w:rsidR="008A2148" w:rsidRPr="008A2148" w:rsidRDefault="00193871" w:rsidP="001E1F9A">
      <w:pPr>
        <w:pStyle w:val="aff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каждой зоне к</w:t>
      </w:r>
      <w:r w:rsidR="008A2148" w:rsidRPr="008A2148">
        <w:rPr>
          <w:rFonts w:ascii="Times New Roman" w:eastAsia="Times New Roman" w:hAnsi="Times New Roman"/>
          <w:sz w:val="28"/>
          <w:szCs w:val="28"/>
        </w:rPr>
        <w:t>онкурсант выполняет задания, основанные на имитации потребностей пациентов в соответствующей обстановке.</w:t>
      </w:r>
    </w:p>
    <w:p w:rsidR="008A2148" w:rsidRPr="00487ADB" w:rsidRDefault="008A2148" w:rsidP="006E35F9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35F9" w:rsidRPr="001E1F9A" w:rsidRDefault="006E35F9" w:rsidP="001E1F9A">
      <w:pPr>
        <w:pStyle w:val="aff1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E1F9A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</w:t>
      </w:r>
      <w:r w:rsidR="00193871">
        <w:rPr>
          <w:rFonts w:ascii="Times New Roman" w:hAnsi="Times New Roman"/>
          <w:bCs/>
          <w:sz w:val="28"/>
          <w:szCs w:val="28"/>
        </w:rPr>
        <w:t>60</w:t>
      </w:r>
      <w:r w:rsidRPr="001E1F9A">
        <w:rPr>
          <w:rFonts w:ascii="Times New Roman" w:hAnsi="Times New Roman"/>
          <w:bCs/>
          <w:sz w:val="28"/>
          <w:szCs w:val="28"/>
        </w:rPr>
        <w:t xml:space="preserve"> минут на </w:t>
      </w:r>
      <w:r w:rsidR="00B654BA" w:rsidRPr="001E1F9A">
        <w:rPr>
          <w:rFonts w:ascii="Times New Roman" w:hAnsi="Times New Roman"/>
          <w:bCs/>
          <w:sz w:val="28"/>
          <w:szCs w:val="28"/>
        </w:rPr>
        <w:t>к</w:t>
      </w:r>
      <w:r w:rsidRPr="001E1F9A">
        <w:rPr>
          <w:rFonts w:ascii="Times New Roman" w:hAnsi="Times New Roman"/>
          <w:bCs/>
          <w:sz w:val="28"/>
          <w:szCs w:val="28"/>
        </w:rPr>
        <w:t xml:space="preserve">онкурсанта. 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ых актеров и грим. Организатор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Требуются звуковые системы для трансляции бесед м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ежду конкурсантами и статистами-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пациентами.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ожидания  для конкурсантов.</w:t>
      </w:r>
    </w:p>
    <w:p w:rsidR="000368E8" w:rsidRPr="001E1F9A" w:rsidRDefault="000368E8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конкурсантов определяется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лавным экспертом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в присутствии всех 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кспертов перед началом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емпионата, методом жеребьевки. В дальнейшем осуществляется ротация на основе порядка, установленного для первого дня, а также с учетом работы  экспер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тной группы. Порядок участия в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емпионате оглашается конкурсантам в день знакомства с рабочим местом.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 w:rsidR="000368E8" w:rsidRPr="001E1F9A" w:rsidRDefault="000368E8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оревнования. Во время ожидания 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для выполнения задания участнику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х заранее по решению 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лавного эксперта. При необхо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димости, во время ознакомления 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ехнический эксперт организует демонстрацию на месте.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Главный эксперт распределя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организации/региона.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каждой зоны для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онкурсантов осуществляется накануне вечером каждого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84EE3" w:rsidRPr="001E1F9A" w:rsidRDefault="00584EE3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За каждой зоной закрепляется руководитель из числа опытных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кспертов, который сотрудничает с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лавным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 и руководит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кспертами в своей зоне.</w:t>
      </w:r>
    </w:p>
    <w:p w:rsidR="00584EE3" w:rsidRPr="001E1F9A" w:rsidRDefault="00584EE3" w:rsidP="001E1F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Работа в каждой зоне стро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ится согласно плану проведения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по компетенции.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группа экспертов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оценивание определенных модулей и оценивает работу каждого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онкурсанта по этим модулям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онкурсного задания.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быть засвидетельствованы и подписаны </w:t>
      </w:r>
      <w:r w:rsidR="00980E64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экспертами каждой группы на каждом рабочем месте, а результаты подлежат регистрации в ЦСО.</w:t>
      </w:r>
    </w:p>
    <w:p w:rsidR="008A2148" w:rsidRPr="001E1F9A" w:rsidRDefault="008A2148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Ежедневно работают два </w:t>
      </w:r>
      <w:r w:rsidR="006C5C50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 для проверки соблюдения норм охраны труда, техники безопасности и охраны окружающей среды.</w:t>
      </w:r>
    </w:p>
    <w:p w:rsidR="00E15F2A" w:rsidRPr="001E1F9A" w:rsidRDefault="00A11569" w:rsidP="001E1F9A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1E1F9A">
        <w:rPr>
          <w:rFonts w:ascii="Times New Roman" w:hAnsi="Times New Roman"/>
          <w:color w:val="000000"/>
          <w:szCs w:val="28"/>
        </w:rPr>
        <w:t>2</w:t>
      </w:r>
      <w:r w:rsidR="00FB022D" w:rsidRPr="001E1F9A">
        <w:rPr>
          <w:rFonts w:ascii="Times New Roman" w:hAnsi="Times New Roman"/>
          <w:color w:val="000000"/>
          <w:szCs w:val="28"/>
        </w:rPr>
        <w:t>.</w:t>
      </w:r>
      <w:r w:rsidRPr="001E1F9A">
        <w:rPr>
          <w:rFonts w:ascii="Times New Roman" w:hAnsi="Times New Roman"/>
          <w:color w:val="000000"/>
          <w:szCs w:val="28"/>
        </w:rPr>
        <w:t>1</w:t>
      </w:r>
      <w:r w:rsidR="00FB022D" w:rsidRPr="001E1F9A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1E1F9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E15F2A" w:rsidRPr="001E1F9A" w:rsidRDefault="00E15F2A" w:rsidP="001E1F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>Нулевой - нельзя ничего привозить.</w:t>
      </w:r>
    </w:p>
    <w:p w:rsidR="00E15F2A" w:rsidRPr="001E1F9A" w:rsidRDefault="00A11569" w:rsidP="001E1F9A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1E1F9A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E15F2A" w:rsidRPr="001E1F9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603BC7" w:rsidRPr="001E1F9A" w:rsidRDefault="00603BC7" w:rsidP="001E1F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Pr="003732A7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76201" w:rsidRPr="003732A7" w:rsidSect="00976338">
      <w:headerReference w:type="default" r:id="rId59"/>
      <w:footerReference w:type="default" r:id="rId6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D1" w:rsidRDefault="00651DD1" w:rsidP="00970F49">
      <w:pPr>
        <w:spacing w:after="0" w:line="240" w:lineRule="auto"/>
      </w:pPr>
      <w:r>
        <w:separator/>
      </w:r>
    </w:p>
  </w:endnote>
  <w:endnote w:type="continuationSeparator" w:id="0">
    <w:p w:rsidR="00651DD1" w:rsidRDefault="00651DD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193871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193871" w:rsidRPr="00A204BB" w:rsidRDefault="00193871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193871" w:rsidRPr="00A204BB" w:rsidRDefault="006E463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193871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17CA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193871" w:rsidRDefault="00193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D1" w:rsidRDefault="00651DD1" w:rsidP="00970F49">
      <w:pPr>
        <w:spacing w:after="0" w:line="240" w:lineRule="auto"/>
      </w:pPr>
      <w:r>
        <w:separator/>
      </w:r>
    </w:p>
  </w:footnote>
  <w:footnote w:type="continuationSeparator" w:id="0">
    <w:p w:rsidR="00651DD1" w:rsidRDefault="00651DD1" w:rsidP="00970F49">
      <w:pPr>
        <w:spacing w:after="0" w:line="240" w:lineRule="auto"/>
      </w:pPr>
      <w:r>
        <w:continuationSeparator/>
      </w:r>
    </w:p>
  </w:footnote>
  <w:footnote w:id="1">
    <w:p w:rsidR="00193871" w:rsidRDefault="0019387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193871" w:rsidRDefault="0019387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71" w:rsidRPr="00B45AA4" w:rsidRDefault="0019387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3504CA"/>
    <w:multiLevelType w:val="hybridMultilevel"/>
    <w:tmpl w:val="E9E46AF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B70F6"/>
    <w:multiLevelType w:val="hybridMultilevel"/>
    <w:tmpl w:val="CC8A4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9BC0175"/>
    <w:multiLevelType w:val="multilevel"/>
    <w:tmpl w:val="3ABCC0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67A3C5F"/>
    <w:multiLevelType w:val="multilevel"/>
    <w:tmpl w:val="8A508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A04"/>
    <w:multiLevelType w:val="hybridMultilevel"/>
    <w:tmpl w:val="1FF6683A"/>
    <w:lvl w:ilvl="0" w:tplc="F1026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6"/>
  </w:num>
  <w:num w:numId="10">
    <w:abstractNumId w:val="9"/>
  </w:num>
  <w:num w:numId="11">
    <w:abstractNumId w:val="4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30"/>
  </w:num>
  <w:num w:numId="17">
    <w:abstractNumId w:val="28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5"/>
  </w:num>
  <w:num w:numId="28">
    <w:abstractNumId w:val="1"/>
  </w:num>
  <w:num w:numId="29">
    <w:abstractNumId w:val="11"/>
  </w:num>
  <w:num w:numId="30">
    <w:abstractNumId w:val="23"/>
  </w:num>
  <w:num w:numId="3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368E8"/>
    <w:rsid w:val="00041A78"/>
    <w:rsid w:val="000559A2"/>
    <w:rsid w:val="00056CDE"/>
    <w:rsid w:val="00067386"/>
    <w:rsid w:val="00081D65"/>
    <w:rsid w:val="00096F8A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33653"/>
    <w:rsid w:val="0015561E"/>
    <w:rsid w:val="001627D5"/>
    <w:rsid w:val="0017612A"/>
    <w:rsid w:val="00193871"/>
    <w:rsid w:val="001C63E7"/>
    <w:rsid w:val="001E1DF9"/>
    <w:rsid w:val="001E1F9A"/>
    <w:rsid w:val="00220E70"/>
    <w:rsid w:val="00226DE3"/>
    <w:rsid w:val="00237603"/>
    <w:rsid w:val="002651E4"/>
    <w:rsid w:val="00270E01"/>
    <w:rsid w:val="002776A1"/>
    <w:rsid w:val="0029547E"/>
    <w:rsid w:val="002B1426"/>
    <w:rsid w:val="002F2906"/>
    <w:rsid w:val="002F303A"/>
    <w:rsid w:val="003242E1"/>
    <w:rsid w:val="00333911"/>
    <w:rsid w:val="00334165"/>
    <w:rsid w:val="003361D7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273E2"/>
    <w:rsid w:val="00436FFC"/>
    <w:rsid w:val="00437D28"/>
    <w:rsid w:val="0044354A"/>
    <w:rsid w:val="00454201"/>
    <w:rsid w:val="00454353"/>
    <w:rsid w:val="00461AC6"/>
    <w:rsid w:val="004671A6"/>
    <w:rsid w:val="00471A08"/>
    <w:rsid w:val="0047429B"/>
    <w:rsid w:val="004904C5"/>
    <w:rsid w:val="004917C4"/>
    <w:rsid w:val="004A07A5"/>
    <w:rsid w:val="004B692B"/>
    <w:rsid w:val="004C3CAF"/>
    <w:rsid w:val="004C3D7E"/>
    <w:rsid w:val="004C703E"/>
    <w:rsid w:val="004D096E"/>
    <w:rsid w:val="004E6BB7"/>
    <w:rsid w:val="004E785E"/>
    <w:rsid w:val="004E7905"/>
    <w:rsid w:val="005055FF"/>
    <w:rsid w:val="00510059"/>
    <w:rsid w:val="00554CBB"/>
    <w:rsid w:val="005560AC"/>
    <w:rsid w:val="0056194A"/>
    <w:rsid w:val="00565B7C"/>
    <w:rsid w:val="00584EE3"/>
    <w:rsid w:val="005A1625"/>
    <w:rsid w:val="005B05D5"/>
    <w:rsid w:val="005B0DEC"/>
    <w:rsid w:val="005B1C40"/>
    <w:rsid w:val="005B66FC"/>
    <w:rsid w:val="005C41AE"/>
    <w:rsid w:val="005C6A23"/>
    <w:rsid w:val="005E30DC"/>
    <w:rsid w:val="005F2FBB"/>
    <w:rsid w:val="00603BC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1DD1"/>
    <w:rsid w:val="00653B50"/>
    <w:rsid w:val="006776B4"/>
    <w:rsid w:val="006873B8"/>
    <w:rsid w:val="006B0FEA"/>
    <w:rsid w:val="006C5C50"/>
    <w:rsid w:val="006C6D6D"/>
    <w:rsid w:val="006C7A3B"/>
    <w:rsid w:val="006C7CE4"/>
    <w:rsid w:val="006E35F9"/>
    <w:rsid w:val="006E4635"/>
    <w:rsid w:val="006F4464"/>
    <w:rsid w:val="00714CA4"/>
    <w:rsid w:val="00717CA4"/>
    <w:rsid w:val="007250D9"/>
    <w:rsid w:val="007274B8"/>
    <w:rsid w:val="00727F97"/>
    <w:rsid w:val="00730AE0"/>
    <w:rsid w:val="0074372D"/>
    <w:rsid w:val="007469DE"/>
    <w:rsid w:val="007604F9"/>
    <w:rsid w:val="00764773"/>
    <w:rsid w:val="00765FE6"/>
    <w:rsid w:val="0077115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766CD"/>
    <w:rsid w:val="00881DD2"/>
    <w:rsid w:val="00882B54"/>
    <w:rsid w:val="00886523"/>
    <w:rsid w:val="008912AE"/>
    <w:rsid w:val="00893FE7"/>
    <w:rsid w:val="008A1FAF"/>
    <w:rsid w:val="008A2148"/>
    <w:rsid w:val="008A7D73"/>
    <w:rsid w:val="008B0F23"/>
    <w:rsid w:val="008B560B"/>
    <w:rsid w:val="008B5EE6"/>
    <w:rsid w:val="008C3BF8"/>
    <w:rsid w:val="008C41F7"/>
    <w:rsid w:val="008D6DCF"/>
    <w:rsid w:val="008E5424"/>
    <w:rsid w:val="008F072F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E64"/>
    <w:rsid w:val="009931F0"/>
    <w:rsid w:val="009955F8"/>
    <w:rsid w:val="009A36AD"/>
    <w:rsid w:val="009B1417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20D1"/>
    <w:rsid w:val="00A962D4"/>
    <w:rsid w:val="00A9790B"/>
    <w:rsid w:val="00AA2B8A"/>
    <w:rsid w:val="00AC0901"/>
    <w:rsid w:val="00AD03CC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54BA"/>
    <w:rsid w:val="00BA2CF0"/>
    <w:rsid w:val="00BB57CF"/>
    <w:rsid w:val="00BC3813"/>
    <w:rsid w:val="00BC7808"/>
    <w:rsid w:val="00BE099A"/>
    <w:rsid w:val="00C06EBC"/>
    <w:rsid w:val="00C0723F"/>
    <w:rsid w:val="00C17B01"/>
    <w:rsid w:val="00C21E3A"/>
    <w:rsid w:val="00C25A8A"/>
    <w:rsid w:val="00C26C83"/>
    <w:rsid w:val="00C5201A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6201"/>
    <w:rsid w:val="00D77A52"/>
    <w:rsid w:val="00D812B0"/>
    <w:rsid w:val="00D87A1E"/>
    <w:rsid w:val="00D943F7"/>
    <w:rsid w:val="00D9753E"/>
    <w:rsid w:val="00DB09DE"/>
    <w:rsid w:val="00DC58F5"/>
    <w:rsid w:val="00DE39D8"/>
    <w:rsid w:val="00DE5614"/>
    <w:rsid w:val="00E0407E"/>
    <w:rsid w:val="00E04FDF"/>
    <w:rsid w:val="00E15F2A"/>
    <w:rsid w:val="00E26CAF"/>
    <w:rsid w:val="00E279E8"/>
    <w:rsid w:val="00E511E3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78F3"/>
    <w:rsid w:val="00EE5EAC"/>
    <w:rsid w:val="00EE7DA3"/>
    <w:rsid w:val="00F1662D"/>
    <w:rsid w:val="00F3099C"/>
    <w:rsid w:val="00F35F4F"/>
    <w:rsid w:val="00F50AC5"/>
    <w:rsid w:val="00F566E1"/>
    <w:rsid w:val="00F6025D"/>
    <w:rsid w:val="00F672B2"/>
    <w:rsid w:val="00F8340A"/>
    <w:rsid w:val="00F83D10"/>
    <w:rsid w:val="00F96457"/>
    <w:rsid w:val="00FA7195"/>
    <w:rsid w:val="00FB022D"/>
    <w:rsid w:val="00FB1F17"/>
    <w:rsid w:val="00FB3492"/>
    <w:rsid w:val="00FB3C54"/>
    <w:rsid w:val="00FC6E2B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9" Type="http://schemas.openxmlformats.org/officeDocument/2006/relationships/header" Target="header1.xml"/><Relationship Id="rId2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3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28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6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7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10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31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44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52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408kab_cecdelo\Desktop\&#1044;&#1086;&#1082;&#1091;&#1084;&#1077;&#1085;&#1090;&#1072;&#1094;&#1080;&#1103;%20&#1076;&#1083;&#1103;%20&#1056;&#1063;\&#1054;&#1089;&#1085;&#1086;&#1074;&#1085;&#1072;&#1103;%20&#1075;&#1088;&#1091;&#1087;&#1087;&#1072;\&#1052;&#1072;&#1090;&#1088;&#1080;&#1094;&#1072;_&#1052;&#1057;&#1059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7111-F5F8-43C7-B565-D9845DD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7803</Words>
  <Characters>44481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Зам ПО</cp:lastModifiedBy>
  <cp:revision>2</cp:revision>
  <dcterms:created xsi:type="dcterms:W3CDTF">2023-03-10T06:50:00Z</dcterms:created>
  <dcterms:modified xsi:type="dcterms:W3CDTF">2023-03-10T06:50:00Z</dcterms:modified>
</cp:coreProperties>
</file>