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14623E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14623E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14623E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14623E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14623E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14623E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00BB401D" wp14:editId="2A973D2D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0712BA60" wp14:editId="74849760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A805DC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Ресторанный сервис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Оглавление</w:t>
          </w:r>
        </w:p>
        <w:p w:rsidR="00A805DC" w:rsidRPr="00A805DC" w:rsidRDefault="00A805DC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14623E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14623E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14623E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14623E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14623E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14623E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9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14623E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14623E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14623E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14623E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14623E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14623E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14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A805DC" w:rsidP="00A805DC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0" w:name="_Toc507427594"/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Инструктаж по охране труда и технике безопасности</w:t>
          </w:r>
          <w:bookmarkEnd w:id="0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 Контроль требований охраны труда участниками и экспертами. </w:t>
          </w:r>
          <w:r w:rsidRPr="00A805DC">
            <w:rPr>
              <w:rFonts w:ascii="Times New Roman" w:eastAsia="Calibri" w:hAnsi="Times New Roman" w:cs="Times New Roman"/>
              <w:i/>
              <w:sz w:val="24"/>
              <w:szCs w:val="24"/>
              <w:lang w:eastAsia="ru-RU"/>
            </w:rPr>
            <w:t>Механизм начисления штрафных баллов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за нарушения требований охраны труда.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1" w:name="_Toc507427595"/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 xml:space="preserve">Программа инструктажа по охране труда для участников </w:t>
          </w:r>
          <w:bookmarkEnd w:id="1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2" w:name="_Toc507427596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2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до 14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выполнению конкурсного задания, под непосредственным руководством экспертов компетенции «Ресторанный сервис» по стандартам «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до 14 лет: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ознакомленные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от 14 до 17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Компетенции «Ресторанный сервис» по стандартам «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от 14 до 17 лет: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ознакомленные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старше 18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«Ресторанный сервис»  по стандартам «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не моложе 18 лет;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ознакомленные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самостоятельно использовать инструмент и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выполнению конкурсного задания;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возрастной группы 10-17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644"/>
            <w:gridCol w:w="5493"/>
          </w:tblGrid>
          <w:tr w:rsidR="00A805DC" w:rsidRPr="00A805DC" w:rsidTr="0014623E">
            <w:tc>
              <w:tcPr>
                <w:tcW w:w="10137" w:type="dxa"/>
                <w:gridSpan w:val="2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 оборудования</w:t>
                </w: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805DC" w:rsidRPr="00A805DC" w:rsidTr="0014623E">
            <w:trPr>
              <w:trHeight w:val="407"/>
            </w:trPr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Холодильник барный маленький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профессиональная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полуавтомат</w:t>
                </w: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Ледогенератор (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кубикового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льда)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Коробок спичек или зажигалки</w:t>
                </w: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Мельница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14623E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Свеча</w:t>
                </w:r>
                <w:r w:rsidR="00A805DC"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, подсвечник</w:t>
                </w: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Айсбакет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Совок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Щипцы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Ведро для 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охлажения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бутылок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Лоток для фруктов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 для масла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закусочные (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нож+вилка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основные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десертные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для раскладки (вилка +ложка)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8-10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10-12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14-20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Нарзанник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Шейкер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Барная ложка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Стрейнер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джигер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Мадлер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Прорезиненный поднос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Декантер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Гейзеры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14623E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шампанского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Участник возрастной группы 18+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943"/>
            <w:gridCol w:w="4628"/>
          </w:tblGrid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Холодильник барный маленький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Ледогенератор (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кубикового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льда)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Мельница для льда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Айсбакет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Совок для льда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Щипцы для льда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Ведро для 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охлажения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бутылок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Лоток для фруктов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 для масла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закусочные (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нож+вилка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)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основные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десертные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для раскладки (вилка +ложка)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8-10 см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10-12 см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14-20 см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Нарзанник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Шейкер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Барная ложка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Стрейнер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джигер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Мадлер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Прорезиненный поднос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Декантер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Гейзеры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шампанского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профессиональная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полуавтомат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Коробок спичек или зажигалки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Свеча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,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подсвечник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термические ожоги;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температура поверхности оборудования, блюд и напитков;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напряженность в электрической цепи;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возможная опасность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травмирования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при использовании стеклянной посуды;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достаточная освещенность рабочей зоны;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острые кромки, заусенцы и не ровности поверхностей инструмента, инвентаря, приборов;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физическая перегрузка (рабочая поза).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Применяемые во время выполнения конкурсного задания средства индивидуальной защиты: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удобная классическая обув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ь(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девушек: каблук не выше 3 см), 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костюм;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перчатки;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фартук.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A805D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- </w:t>
          </w:r>
          <w:r w:rsidRPr="00A805DC"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ru-RU"/>
            </w:rPr>
            <w:t> </w:t>
          </w:r>
          <w:r w:rsidRPr="00A805DC">
            <w:rPr>
              <w:rFonts w:ascii="Times New Roman" w:eastAsia="Times New Roman" w:hAnsi="Times New Roman" w:cs="Times New Roman"/>
              <w:color w:val="000000"/>
              <w:sz w:val="24"/>
              <w:szCs w:val="24"/>
              <w:u w:val="single"/>
              <w:lang w:eastAsia="ru-RU"/>
            </w:rPr>
            <w:t>W 19 Газовый баллон</w:t>
          </w:r>
          <w:r w:rsidRPr="00A805D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DB043A9" wp14:editId="0E207D58">
                <wp:extent cx="541020" cy="526415"/>
                <wp:effectExtent l="1905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F754F5F" wp14:editId="22729E0B">
                <wp:extent cx="453390" cy="438785"/>
                <wp:effectExtent l="19050" t="0" r="381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225DE1F" wp14:editId="21C701BD">
                <wp:extent cx="768350" cy="40957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A9A6528" wp14:editId="4027A3E5">
                <wp:extent cx="812165" cy="438785"/>
                <wp:effectExtent l="19050" t="0" r="6985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BC76567" wp14:editId="3B89F8C2">
                <wp:extent cx="467995" cy="461010"/>
                <wp:effectExtent l="19050" t="0" r="8255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</w:t>
          </w:r>
          <w:proofErr w:type="gramStart"/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З</w:t>
          </w:r>
          <w:proofErr w:type="gramEnd"/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апрещается курить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37190A3C" wp14:editId="56AA7EE1">
                <wp:extent cx="497205" cy="497205"/>
                <wp:effectExtent l="19050" t="0" r="0" b="0"/>
                <wp:docPr id="14" name="Рисунок 14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507427597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 xml:space="preserve">2.Требования охраны труда перед началом </w:t>
          </w:r>
          <w:bookmarkEnd w:id="3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выполнения конкурсного задания участники должны выполнить следующее: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разместить инструмент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и расходные материалы в инструментальный шкаф;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произвести подключение и настройку оборудования;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2.3. Подготовить инструмент и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80"/>
            <w:gridCol w:w="6191"/>
          </w:tblGrid>
          <w:tr w:rsidR="00A805DC" w:rsidRPr="00A805DC" w:rsidTr="0014623E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A805DC" w:rsidRPr="00A805DC" w:rsidTr="0014623E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профессиональная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полуавтомат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- проверить исправность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электророзетки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исправность блокировочных устройств;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эксплуатировать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кофемашину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при отсутствии воды в котле, не исправности манометра, сигнальной лампочки уровня воды, датчика автоматического включения подпитки котла;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уровнем воды и давлением в котле в насосе.</w:t>
                </w:r>
              </w:p>
            </w:tc>
          </w:tr>
          <w:tr w:rsidR="00A805DC" w:rsidRPr="00A805DC" w:rsidTr="0014623E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Газовая переносная плита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целостность ручек пакетных переключателей газовой плиты, они должны быть установлены в положении «0».</w:t>
                </w:r>
              </w:p>
            </w:tc>
          </w:tr>
          <w:tr w:rsidR="00A805DC" w:rsidRPr="00A805DC" w:rsidTr="0014623E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целостности корпуса баллона.</w:t>
                </w:r>
              </w:p>
            </w:tc>
          </w:tr>
          <w:tr w:rsidR="00A805DC" w:rsidRPr="00A805DC" w:rsidTr="0014623E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исправность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электророзетки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.</w:t>
                </w:r>
              </w:p>
            </w:tc>
          </w:tr>
          <w:tr w:rsidR="00A805DC" w:rsidRPr="00A805DC" w:rsidTr="0014623E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tabs>
                    <w:tab w:val="left" w:pos="5242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исправность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электророзетки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.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ab/>
                </w: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место, средства индивидуальной защиты;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инструмента и оборудования в электросеть.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4" w:name="_Toc507427598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lastRenderedPageBreak/>
            <w:t xml:space="preserve">3.Требования охраны труда во время </w:t>
          </w:r>
          <w:bookmarkEnd w:id="4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18"/>
            <w:gridCol w:w="7453"/>
          </w:tblGrid>
          <w:tr w:rsidR="00A805DC" w:rsidRPr="00A805DC" w:rsidTr="0014623E">
            <w:trPr>
              <w:tblHeader/>
            </w:trPr>
            <w:tc>
              <w:tcPr>
                <w:tcW w:w="2118" w:type="dxa"/>
                <w:shd w:val="clear" w:color="auto" w:fill="auto"/>
                <w:vAlign w:val="center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A805DC" w:rsidRPr="00A805DC" w:rsidTr="0014623E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профессиональная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полуавтомат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-не загромождать рабочее место;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предупреждать о пуске оборудования;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передвигать включенную в сеть;</w:t>
                </w:r>
                <w:proofErr w:type="gramEnd"/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Работать: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-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исправности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исправности исправность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электророзетки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исправности </w:t>
                </w:r>
                <w:proofErr w:type="spellStart"/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исправности</w:t>
                </w:r>
                <w:proofErr w:type="spellEnd"/>
                <w:proofErr w:type="gram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блокировочных устройств;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эксплуатировать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кофемашину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при отсутствии воды в котле, не исправности манометра, сигнальной лампочки уровня воды, датчика автоматического включения подпитки котла;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работе следить за уровнем воды и давлением в котле в насосе.</w:t>
                </w:r>
              </w:p>
            </w:tc>
          </w:tr>
          <w:tr w:rsidR="00A805DC" w:rsidRPr="00A805DC" w:rsidTr="0014623E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</w:t>
                </w:r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</w:t>
                </w:r>
                <w:proofErr w:type="gram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 наличие и целостность ручек пакетных переключателей газовой плиты, они должны быть установлены в положении «0».</w:t>
                </w:r>
              </w:p>
            </w:tc>
          </w:tr>
          <w:tr w:rsidR="00A805DC" w:rsidRPr="00A805DC" w:rsidTr="0014623E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целостности корпуса баллона.</w:t>
                </w:r>
              </w:p>
            </w:tc>
          </w:tr>
          <w:tr w:rsidR="00A805DC" w:rsidRPr="00A805DC" w:rsidTr="0014623E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передвигать включенную в сеть;</w:t>
                </w:r>
                <w:proofErr w:type="gramEnd"/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исправность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электророзетки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.</w:t>
                </w:r>
              </w:p>
            </w:tc>
          </w:tr>
          <w:tr w:rsidR="00A805DC" w:rsidRPr="00A805DC" w:rsidTr="0014623E"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предупреждать о пуске оборудования;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передвигать включенную в сеть;</w:t>
                </w:r>
                <w:proofErr w:type="gramEnd"/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tabs>
                    <w:tab w:val="left" w:pos="5242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исправность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электророзетки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.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ab/>
                </w: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выполнять конкурсные задания только исправным инструментом;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9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5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600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6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Убрать средства индивидуальной защиты в отведенное для хранений место.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Отключить инструмент и оборудование от сети.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Инструмент убрать в специально предназначенное для хранений место.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7" w:name="_Toc507427601"/>
          <w:r w:rsidRPr="00A805DC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Инструкция по охране труда для экспертов</w:t>
          </w:r>
          <w:bookmarkEnd w:id="7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8" w:name="_Toc507427602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8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«Ресторанный</w:t>
          </w:r>
          <w:r w:rsidR="0014623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сервис» допускаются Эксперты, прошедшие специальное обучение и не имеющие противопоказаний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температура поверхности оборудования, блюд и напитков;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напряженность в электрической цепи;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возможная опасность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травмирования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при использовании стеклянной посуды;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достаточная освещенность рабочей зоны;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острые кромки, заусенцы и не ровности поверхностей инструмента, инвентаря, приборов;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Психологические: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Знаки безопасности, используемые на рабочих местах участников, для обозначения присутствующих опасностей:</w:t>
          </w:r>
        </w:p>
        <w:p w:rsidR="00A805DC" w:rsidRPr="00A805DC" w:rsidRDefault="00A805DC" w:rsidP="00A805DC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5D26AD5" wp14:editId="54595933">
                <wp:extent cx="453390" cy="438785"/>
                <wp:effectExtent l="19050" t="0" r="381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«Ресторанный сервис»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а при необходимости согласно действующему законодательству.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3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9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2.1.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-привести в порядок рабочее место эксперта;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необходимые средства индивидуальной защиты;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4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0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bookmarkStart w:id="11" w:name="_GoBack"/>
          <w:bookmarkEnd w:id="11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Во избежание поражения током запрещается: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ств пр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 включенном питании;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3.5. Эксперту во время работы с оргтехникой: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A805DC" w:rsidRPr="00A805DC" w:rsidRDefault="00A805DC" w:rsidP="0014623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-запрещается перемещать аппараты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включенными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в сеть;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запрещается опираться на стекло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оригиналодержателя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класть на него какие-либо вещи помимо оригинала;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Запрещается: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пользоваться любой документацией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кроме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предусмотренной конкурсным заданием.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нахождении на конкурсной площадке Эксперту: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ноги;</w:t>
          </w: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5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lastRenderedPageBreak/>
            <w:t>4. Требования охраны труда в аварийных ситуациях</w:t>
          </w:r>
          <w:bookmarkEnd w:id="12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4.2.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3" w:name="_Toc507427606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lastRenderedPageBreak/>
            <w:t xml:space="preserve">5.Требование охраны труда по окончании </w:t>
          </w:r>
          <w:bookmarkEnd w:id="13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E961FB" w:rsidRPr="004D6E23" w:rsidRDefault="0014623E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3E" w:rsidRDefault="0014623E" w:rsidP="004D6E23">
      <w:pPr>
        <w:spacing w:after="0" w:line="240" w:lineRule="auto"/>
      </w:pPr>
      <w:r>
        <w:separator/>
      </w:r>
    </w:p>
  </w:endnote>
  <w:endnote w:type="continuationSeparator" w:id="0">
    <w:p w:rsidR="0014623E" w:rsidRDefault="0014623E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14623E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14623E" w:rsidRPr="00832EBB" w:rsidRDefault="0014623E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14623E" w:rsidRPr="00832EBB" w:rsidRDefault="0014623E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4623E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72" w:type="dxa"/>
              <w:shd w:val="clear" w:color="auto" w:fill="auto"/>
              <w:vAlign w:val="center"/>
            </w:tcPr>
            <w:p w:rsidR="0014623E" w:rsidRPr="009955F8" w:rsidRDefault="0014623E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(Ресторанный сервис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14623E" w:rsidRPr="00832EBB" w:rsidRDefault="0014623E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861CA">
            <w:rPr>
              <w:caps/>
              <w:noProof/>
              <w:sz w:val="18"/>
              <w:szCs w:val="18"/>
            </w:rPr>
            <w:t>12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14623E" w:rsidRDefault="0014623E" w:rsidP="004D6E23">
    <w:pPr>
      <w:pStyle w:val="a8"/>
    </w:pPr>
  </w:p>
  <w:p w:rsidR="0014623E" w:rsidRDefault="001462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3E" w:rsidRDefault="0014623E" w:rsidP="004D6E23">
      <w:pPr>
        <w:spacing w:after="0" w:line="240" w:lineRule="auto"/>
      </w:pPr>
      <w:r>
        <w:separator/>
      </w:r>
    </w:p>
  </w:footnote>
  <w:footnote w:type="continuationSeparator" w:id="0">
    <w:p w:rsidR="0014623E" w:rsidRDefault="0014623E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3E" w:rsidRDefault="0014623E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4623E" w:rsidRDefault="0014623E">
    <w:pPr>
      <w:pStyle w:val="a6"/>
    </w:pPr>
  </w:p>
  <w:p w:rsidR="0014623E" w:rsidRDefault="0014623E">
    <w:pPr>
      <w:pStyle w:val="a6"/>
    </w:pPr>
  </w:p>
  <w:p w:rsidR="0014623E" w:rsidRDefault="001462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14623E"/>
    <w:rsid w:val="00250F13"/>
    <w:rsid w:val="002C57E1"/>
    <w:rsid w:val="003E7D31"/>
    <w:rsid w:val="00435F60"/>
    <w:rsid w:val="004D6E23"/>
    <w:rsid w:val="00785032"/>
    <w:rsid w:val="00823846"/>
    <w:rsid w:val="009D5F75"/>
    <w:rsid w:val="00A805DC"/>
    <w:rsid w:val="00B9104C"/>
    <w:rsid w:val="00BF164C"/>
    <w:rsid w:val="00BF6D7A"/>
    <w:rsid w:val="00D861CA"/>
    <w:rsid w:val="00E67F5E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annotation reference"/>
    <w:basedOn w:val="a0"/>
    <w:semiHidden/>
    <w:unhideWhenUsed/>
    <w:rsid w:val="00A805D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80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A805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annotation reference"/>
    <w:basedOn w:val="a0"/>
    <w:semiHidden/>
    <w:unhideWhenUsed/>
    <w:rsid w:val="00A805D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80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A805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5911-EF96-41BC-9D99-64098107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(Ресторанный сервис)</dc:creator>
  <cp:keywords/>
  <dc:description/>
  <cp:lastModifiedBy>uzer</cp:lastModifiedBy>
  <cp:revision>9</cp:revision>
  <cp:lastPrinted>2018-05-07T10:16:00Z</cp:lastPrinted>
  <dcterms:created xsi:type="dcterms:W3CDTF">2018-05-07T10:04:00Z</dcterms:created>
  <dcterms:modified xsi:type="dcterms:W3CDTF">2021-12-17T15:50:00Z</dcterms:modified>
</cp:coreProperties>
</file>